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7A" w:rsidRDefault="00F9217A" w:rsidP="00D1193B">
      <w:pPr>
        <w:spacing w:before="100" w:beforeAutospacing="1" w:after="0" w:line="360" w:lineRule="auto"/>
        <w:jc w:val="center"/>
        <w:rPr>
          <w:rFonts w:ascii="Century Schoolbook" w:hAnsi="Century Schoolbook" w:cs="Times New Roman"/>
          <w:b/>
          <w:sz w:val="24"/>
          <w:szCs w:val="24"/>
        </w:rPr>
      </w:pPr>
    </w:p>
    <w:p w:rsidR="005701B5" w:rsidRDefault="005701B5" w:rsidP="00D1193B">
      <w:pPr>
        <w:spacing w:before="100" w:beforeAutospacing="1" w:after="0" w:line="360" w:lineRule="auto"/>
        <w:jc w:val="center"/>
        <w:rPr>
          <w:rFonts w:ascii="Arial" w:hAnsi="Arial" w:cs="Arial"/>
          <w:b/>
          <w:sz w:val="44"/>
          <w:szCs w:val="44"/>
        </w:rPr>
      </w:pPr>
    </w:p>
    <w:p w:rsidR="00696B29" w:rsidRPr="00696B29" w:rsidRDefault="005701B5" w:rsidP="00D1193B">
      <w:pPr>
        <w:spacing w:before="100" w:beforeAutospacing="1" w:after="0" w:line="360" w:lineRule="auto"/>
        <w:jc w:val="center"/>
        <w:rPr>
          <w:rFonts w:ascii="Arial" w:hAnsi="Arial" w:cs="Arial"/>
          <w:b/>
          <w:sz w:val="44"/>
          <w:szCs w:val="44"/>
        </w:rPr>
      </w:pPr>
      <w:r>
        <w:rPr>
          <w:rFonts w:ascii="Arial" w:hAnsi="Arial" w:cs="Arial"/>
          <w:b/>
          <w:sz w:val="44"/>
          <w:szCs w:val="44"/>
        </w:rPr>
        <w:t xml:space="preserve">Database Mining and Statistical Analysis of </w:t>
      </w:r>
      <w:r w:rsidR="00696B29" w:rsidRPr="00696B29">
        <w:rPr>
          <w:rFonts w:ascii="Arial" w:hAnsi="Arial" w:cs="Arial"/>
          <w:b/>
          <w:sz w:val="44"/>
          <w:szCs w:val="44"/>
        </w:rPr>
        <w:t xml:space="preserve">Governmental and </w:t>
      </w:r>
      <w:r w:rsidR="00910D05" w:rsidRPr="00696B29">
        <w:rPr>
          <w:rFonts w:ascii="Arial" w:hAnsi="Arial" w:cs="Arial"/>
          <w:b/>
          <w:sz w:val="44"/>
          <w:szCs w:val="44"/>
        </w:rPr>
        <w:t xml:space="preserve">Litigation Databases: </w:t>
      </w:r>
    </w:p>
    <w:p w:rsidR="00D1193B" w:rsidRDefault="00910D05" w:rsidP="00D1193B">
      <w:pPr>
        <w:spacing w:before="100" w:beforeAutospacing="1" w:after="0" w:line="360" w:lineRule="auto"/>
        <w:jc w:val="center"/>
        <w:rPr>
          <w:rFonts w:ascii="Arial" w:hAnsi="Arial" w:cs="Arial"/>
          <w:b/>
          <w:sz w:val="44"/>
          <w:szCs w:val="44"/>
        </w:rPr>
      </w:pPr>
      <w:r w:rsidRPr="00696B29">
        <w:rPr>
          <w:rFonts w:ascii="Arial" w:hAnsi="Arial" w:cs="Arial"/>
          <w:b/>
          <w:sz w:val="44"/>
          <w:szCs w:val="44"/>
        </w:rPr>
        <w:t xml:space="preserve">An Examination of </w:t>
      </w:r>
      <w:r w:rsidR="00696B29" w:rsidRPr="00696B29">
        <w:rPr>
          <w:rFonts w:ascii="Arial" w:hAnsi="Arial" w:cs="Arial"/>
          <w:b/>
          <w:sz w:val="44"/>
          <w:szCs w:val="44"/>
        </w:rPr>
        <w:t xml:space="preserve">Contemporary </w:t>
      </w:r>
      <w:r w:rsidR="007C0D9D">
        <w:rPr>
          <w:rFonts w:ascii="Arial" w:hAnsi="Arial" w:cs="Arial"/>
          <w:b/>
          <w:sz w:val="44"/>
          <w:szCs w:val="44"/>
        </w:rPr>
        <w:t xml:space="preserve">Legal </w:t>
      </w:r>
      <w:r w:rsidR="00696B29" w:rsidRPr="00696B29">
        <w:rPr>
          <w:rFonts w:ascii="Arial" w:hAnsi="Arial" w:cs="Arial"/>
          <w:b/>
          <w:sz w:val="44"/>
          <w:szCs w:val="44"/>
        </w:rPr>
        <w:t>Issues</w:t>
      </w:r>
      <w:r w:rsidRPr="00696B29">
        <w:rPr>
          <w:rFonts w:ascii="Arial" w:hAnsi="Arial" w:cs="Arial"/>
          <w:b/>
          <w:sz w:val="44"/>
          <w:szCs w:val="44"/>
        </w:rPr>
        <w:t xml:space="preserve"> and </w:t>
      </w:r>
      <w:r w:rsidR="00696B29" w:rsidRPr="00696B29">
        <w:rPr>
          <w:rFonts w:ascii="Arial" w:hAnsi="Arial" w:cs="Arial"/>
          <w:b/>
          <w:sz w:val="44"/>
          <w:szCs w:val="44"/>
        </w:rPr>
        <w:t>Potential Solutions</w:t>
      </w:r>
    </w:p>
    <w:p w:rsidR="00696B29" w:rsidRDefault="00696B29">
      <w:pPr>
        <w:rPr>
          <w:rFonts w:ascii="Arial" w:hAnsi="Arial" w:cs="Arial"/>
          <w:b/>
          <w:sz w:val="44"/>
          <w:szCs w:val="44"/>
        </w:rPr>
      </w:pPr>
      <w:r>
        <w:rPr>
          <w:rFonts w:ascii="Arial" w:hAnsi="Arial" w:cs="Arial"/>
          <w:b/>
          <w:sz w:val="44"/>
          <w:szCs w:val="44"/>
        </w:rPr>
        <w:br w:type="page"/>
      </w:r>
    </w:p>
    <w:sdt>
      <w:sdtPr>
        <w:rPr>
          <w:rFonts w:ascii="Century Schoolbook" w:eastAsiaTheme="minorEastAsia" w:hAnsi="Century Schoolbook" w:cs="Times New Roman"/>
          <w:b w:val="0"/>
          <w:bCs w:val="0"/>
          <w:sz w:val="44"/>
          <w:szCs w:val="44"/>
        </w:rPr>
        <w:id w:val="18357481"/>
        <w:docPartObj>
          <w:docPartGallery w:val="Table of Contents"/>
          <w:docPartUnique/>
        </w:docPartObj>
      </w:sdtPr>
      <w:sdtEndPr>
        <w:rPr>
          <w:sz w:val="24"/>
          <w:szCs w:val="24"/>
        </w:rPr>
      </w:sdtEndPr>
      <w:sdtContent>
        <w:p w:rsidR="00CA02C4" w:rsidRPr="00E56B4D" w:rsidRDefault="00CA02C4" w:rsidP="0002068B">
          <w:pPr>
            <w:pStyle w:val="TOCHeading"/>
            <w:spacing w:before="100" w:beforeAutospacing="1" w:line="360" w:lineRule="auto"/>
            <w:jc w:val="both"/>
            <w:rPr>
              <w:rFonts w:ascii="Century Schoolbook" w:hAnsi="Century Schoolbook" w:cs="Times New Roman"/>
              <w:sz w:val="24"/>
              <w:szCs w:val="24"/>
            </w:rPr>
          </w:pPr>
        </w:p>
        <w:p w:rsidR="00696B29" w:rsidRDefault="00504298">
          <w:pPr>
            <w:pStyle w:val="TOC1"/>
            <w:rPr>
              <w:noProof/>
              <w:lang w:bidi="ar-SA"/>
            </w:rPr>
          </w:pPr>
          <w:r w:rsidRPr="00E56B4D">
            <w:rPr>
              <w:rFonts w:ascii="Century Schoolbook" w:hAnsi="Century Schoolbook" w:cs="Times New Roman"/>
              <w:sz w:val="24"/>
              <w:szCs w:val="24"/>
            </w:rPr>
            <w:fldChar w:fldCharType="begin"/>
          </w:r>
          <w:r w:rsidR="00CA02C4" w:rsidRPr="00E56B4D">
            <w:rPr>
              <w:rFonts w:ascii="Century Schoolbook" w:hAnsi="Century Schoolbook" w:cs="Times New Roman"/>
              <w:sz w:val="24"/>
              <w:szCs w:val="24"/>
            </w:rPr>
            <w:instrText xml:space="preserve"> TOC \o "1-3" \h \z \u </w:instrText>
          </w:r>
          <w:r w:rsidRPr="00E56B4D">
            <w:rPr>
              <w:rFonts w:ascii="Century Schoolbook" w:hAnsi="Century Schoolbook" w:cs="Times New Roman"/>
              <w:sz w:val="24"/>
              <w:szCs w:val="24"/>
            </w:rPr>
            <w:fldChar w:fldCharType="separate"/>
          </w:r>
          <w:hyperlink w:anchor="_Toc362462010" w:history="1">
            <w:r w:rsidR="00696B29" w:rsidRPr="002E7E1A">
              <w:rPr>
                <w:rStyle w:val="Hyperlink"/>
                <w:rFonts w:cs="Times New Roman"/>
                <w:noProof/>
              </w:rPr>
              <w:t>I. INTRODUCTION</w:t>
            </w:r>
            <w:r w:rsidR="00696B29">
              <w:rPr>
                <w:noProof/>
                <w:webHidden/>
              </w:rPr>
              <w:tab/>
            </w:r>
            <w:r>
              <w:rPr>
                <w:noProof/>
                <w:webHidden/>
              </w:rPr>
              <w:fldChar w:fldCharType="begin"/>
            </w:r>
            <w:r w:rsidR="00696B29">
              <w:rPr>
                <w:noProof/>
                <w:webHidden/>
              </w:rPr>
              <w:instrText xml:space="preserve"> PAGEREF _Toc362462010 \h </w:instrText>
            </w:r>
            <w:r>
              <w:rPr>
                <w:noProof/>
                <w:webHidden/>
              </w:rPr>
            </w:r>
            <w:r>
              <w:rPr>
                <w:noProof/>
                <w:webHidden/>
              </w:rPr>
              <w:fldChar w:fldCharType="separate"/>
            </w:r>
            <w:r w:rsidR="00696B29">
              <w:rPr>
                <w:noProof/>
                <w:webHidden/>
              </w:rPr>
              <w:t>3</w:t>
            </w:r>
            <w:r>
              <w:rPr>
                <w:noProof/>
                <w:webHidden/>
              </w:rPr>
              <w:fldChar w:fldCharType="end"/>
            </w:r>
          </w:hyperlink>
        </w:p>
        <w:p w:rsidR="00696B29" w:rsidRDefault="00504298">
          <w:pPr>
            <w:pStyle w:val="TOC1"/>
            <w:rPr>
              <w:noProof/>
              <w:lang w:bidi="ar-SA"/>
            </w:rPr>
          </w:pPr>
          <w:hyperlink w:anchor="_Toc362462011" w:history="1">
            <w:r w:rsidR="00696B29" w:rsidRPr="002E7E1A">
              <w:rPr>
                <w:rStyle w:val="Hyperlink"/>
                <w:rFonts w:cs="Times New Roman"/>
                <w:noProof/>
              </w:rPr>
              <w:t>II. THE AGGREGATION OF JUDICIAL DATA</w:t>
            </w:r>
            <w:r w:rsidR="00696B29">
              <w:rPr>
                <w:noProof/>
                <w:webHidden/>
              </w:rPr>
              <w:tab/>
            </w:r>
            <w:r>
              <w:rPr>
                <w:noProof/>
                <w:webHidden/>
              </w:rPr>
              <w:fldChar w:fldCharType="begin"/>
            </w:r>
            <w:r w:rsidR="00696B29">
              <w:rPr>
                <w:noProof/>
                <w:webHidden/>
              </w:rPr>
              <w:instrText xml:space="preserve"> PAGEREF _Toc362462011 \h </w:instrText>
            </w:r>
            <w:r>
              <w:rPr>
                <w:noProof/>
                <w:webHidden/>
              </w:rPr>
            </w:r>
            <w:r>
              <w:rPr>
                <w:noProof/>
                <w:webHidden/>
              </w:rPr>
              <w:fldChar w:fldCharType="separate"/>
            </w:r>
            <w:r w:rsidR="00696B29">
              <w:rPr>
                <w:noProof/>
                <w:webHidden/>
              </w:rPr>
              <w:t>6</w:t>
            </w:r>
            <w:r>
              <w:rPr>
                <w:noProof/>
                <w:webHidden/>
              </w:rPr>
              <w:fldChar w:fldCharType="end"/>
            </w:r>
          </w:hyperlink>
        </w:p>
        <w:p w:rsidR="00696B29" w:rsidRDefault="00504298">
          <w:pPr>
            <w:pStyle w:val="TOC1"/>
            <w:tabs>
              <w:tab w:val="left" w:pos="660"/>
            </w:tabs>
            <w:rPr>
              <w:noProof/>
              <w:lang w:bidi="ar-SA"/>
            </w:rPr>
          </w:pPr>
          <w:hyperlink w:anchor="_Toc362462012" w:history="1">
            <w:r w:rsidR="00696B29" w:rsidRPr="002E7E1A">
              <w:rPr>
                <w:rStyle w:val="Hyperlink"/>
                <w:rFonts w:ascii="Century Schoolbook" w:hAnsi="Century Schoolbook" w:cs="Times New Roman"/>
                <w:noProof/>
              </w:rPr>
              <w:t>A.</w:t>
            </w:r>
            <w:r w:rsidR="00696B29">
              <w:rPr>
                <w:noProof/>
                <w:lang w:bidi="ar-SA"/>
              </w:rPr>
              <w:tab/>
            </w:r>
            <w:r w:rsidR="00696B29" w:rsidRPr="002E7E1A">
              <w:rPr>
                <w:rStyle w:val="Hyperlink"/>
                <w:rFonts w:ascii="Century Schoolbook" w:hAnsi="Century Schoolbook" w:cs="Times New Roman"/>
                <w:noProof/>
              </w:rPr>
              <w:t>Federal Courts</w:t>
            </w:r>
            <w:r w:rsidR="00696B29">
              <w:rPr>
                <w:noProof/>
                <w:webHidden/>
              </w:rPr>
              <w:tab/>
            </w:r>
            <w:r>
              <w:rPr>
                <w:noProof/>
                <w:webHidden/>
              </w:rPr>
              <w:fldChar w:fldCharType="begin"/>
            </w:r>
            <w:r w:rsidR="00696B29">
              <w:rPr>
                <w:noProof/>
                <w:webHidden/>
              </w:rPr>
              <w:instrText xml:space="preserve"> PAGEREF _Toc362462012 \h </w:instrText>
            </w:r>
            <w:r>
              <w:rPr>
                <w:noProof/>
                <w:webHidden/>
              </w:rPr>
            </w:r>
            <w:r>
              <w:rPr>
                <w:noProof/>
                <w:webHidden/>
              </w:rPr>
              <w:fldChar w:fldCharType="separate"/>
            </w:r>
            <w:r w:rsidR="00696B29">
              <w:rPr>
                <w:noProof/>
                <w:webHidden/>
              </w:rPr>
              <w:t>7</w:t>
            </w:r>
            <w:r>
              <w:rPr>
                <w:noProof/>
                <w:webHidden/>
              </w:rPr>
              <w:fldChar w:fldCharType="end"/>
            </w:r>
          </w:hyperlink>
        </w:p>
        <w:p w:rsidR="00696B29" w:rsidRDefault="00504298">
          <w:pPr>
            <w:pStyle w:val="TOC1"/>
            <w:tabs>
              <w:tab w:val="left" w:pos="660"/>
            </w:tabs>
            <w:rPr>
              <w:noProof/>
              <w:lang w:bidi="ar-SA"/>
            </w:rPr>
          </w:pPr>
          <w:hyperlink w:anchor="_Toc362462013" w:history="1">
            <w:r w:rsidR="00696B29" w:rsidRPr="002E7E1A">
              <w:rPr>
                <w:rStyle w:val="Hyperlink"/>
                <w:rFonts w:ascii="Century Schoolbook" w:hAnsi="Century Schoolbook" w:cs="Times New Roman"/>
                <w:noProof/>
              </w:rPr>
              <w:t>B.</w:t>
            </w:r>
            <w:r w:rsidR="00696B29">
              <w:rPr>
                <w:noProof/>
                <w:lang w:bidi="ar-SA"/>
              </w:rPr>
              <w:tab/>
            </w:r>
            <w:r w:rsidR="00696B29" w:rsidRPr="002E7E1A">
              <w:rPr>
                <w:rStyle w:val="Hyperlink"/>
                <w:rFonts w:ascii="Century Schoolbook" w:hAnsi="Century Schoolbook" w:cs="Times New Roman"/>
                <w:noProof/>
              </w:rPr>
              <w:t>State Courts</w:t>
            </w:r>
            <w:r w:rsidR="00696B29">
              <w:rPr>
                <w:noProof/>
                <w:webHidden/>
              </w:rPr>
              <w:tab/>
            </w:r>
            <w:r>
              <w:rPr>
                <w:noProof/>
                <w:webHidden/>
              </w:rPr>
              <w:fldChar w:fldCharType="begin"/>
            </w:r>
            <w:r w:rsidR="00696B29">
              <w:rPr>
                <w:noProof/>
                <w:webHidden/>
              </w:rPr>
              <w:instrText xml:space="preserve"> PAGEREF _Toc362462013 \h </w:instrText>
            </w:r>
            <w:r>
              <w:rPr>
                <w:noProof/>
                <w:webHidden/>
              </w:rPr>
            </w:r>
            <w:r>
              <w:rPr>
                <w:noProof/>
                <w:webHidden/>
              </w:rPr>
              <w:fldChar w:fldCharType="separate"/>
            </w:r>
            <w:r w:rsidR="00696B29">
              <w:rPr>
                <w:noProof/>
                <w:webHidden/>
              </w:rPr>
              <w:t>9</w:t>
            </w:r>
            <w:r>
              <w:rPr>
                <w:noProof/>
                <w:webHidden/>
              </w:rPr>
              <w:fldChar w:fldCharType="end"/>
            </w:r>
          </w:hyperlink>
        </w:p>
        <w:p w:rsidR="00696B29" w:rsidRDefault="00504298">
          <w:pPr>
            <w:pStyle w:val="TOC1"/>
            <w:rPr>
              <w:noProof/>
              <w:lang w:bidi="ar-SA"/>
            </w:rPr>
          </w:pPr>
          <w:hyperlink w:anchor="_Toc362462014" w:history="1">
            <w:r w:rsidR="00696B29" w:rsidRPr="002E7E1A">
              <w:rPr>
                <w:rStyle w:val="Hyperlink"/>
                <w:rFonts w:cs="Times New Roman"/>
                <w:noProof/>
              </w:rPr>
              <w:t>III. TRANSPARENCY AND PRIVACY</w:t>
            </w:r>
            <w:r w:rsidR="00696B29">
              <w:rPr>
                <w:noProof/>
                <w:webHidden/>
              </w:rPr>
              <w:tab/>
            </w:r>
            <w:r>
              <w:rPr>
                <w:noProof/>
                <w:webHidden/>
              </w:rPr>
              <w:fldChar w:fldCharType="begin"/>
            </w:r>
            <w:r w:rsidR="00696B29">
              <w:rPr>
                <w:noProof/>
                <w:webHidden/>
              </w:rPr>
              <w:instrText xml:space="preserve"> PAGEREF _Toc362462014 \h </w:instrText>
            </w:r>
            <w:r>
              <w:rPr>
                <w:noProof/>
                <w:webHidden/>
              </w:rPr>
            </w:r>
            <w:r>
              <w:rPr>
                <w:noProof/>
                <w:webHidden/>
              </w:rPr>
              <w:fldChar w:fldCharType="separate"/>
            </w:r>
            <w:r w:rsidR="00696B29">
              <w:rPr>
                <w:noProof/>
                <w:webHidden/>
              </w:rPr>
              <w:t>12</w:t>
            </w:r>
            <w:r>
              <w:rPr>
                <w:noProof/>
                <w:webHidden/>
              </w:rPr>
              <w:fldChar w:fldCharType="end"/>
            </w:r>
          </w:hyperlink>
        </w:p>
        <w:p w:rsidR="00696B29" w:rsidRDefault="00504298">
          <w:pPr>
            <w:pStyle w:val="TOC1"/>
            <w:tabs>
              <w:tab w:val="left" w:pos="660"/>
            </w:tabs>
            <w:rPr>
              <w:noProof/>
              <w:lang w:bidi="ar-SA"/>
            </w:rPr>
          </w:pPr>
          <w:hyperlink w:anchor="_Toc362462015" w:history="1">
            <w:r w:rsidR="00696B29" w:rsidRPr="002E7E1A">
              <w:rPr>
                <w:rStyle w:val="Hyperlink"/>
                <w:rFonts w:ascii="Century Schoolbook" w:hAnsi="Century Schoolbook" w:cs="Times New Roman"/>
                <w:noProof/>
              </w:rPr>
              <w:t>A.</w:t>
            </w:r>
            <w:r w:rsidR="00696B29">
              <w:rPr>
                <w:noProof/>
                <w:lang w:bidi="ar-SA"/>
              </w:rPr>
              <w:tab/>
            </w:r>
            <w:r w:rsidR="00696B29" w:rsidRPr="002E7E1A">
              <w:rPr>
                <w:rStyle w:val="Hyperlink"/>
                <w:rFonts w:ascii="Century Schoolbook" w:hAnsi="Century Schoolbook" w:cs="Times New Roman"/>
                <w:noProof/>
              </w:rPr>
              <w:t>Transparency Needs</w:t>
            </w:r>
            <w:r w:rsidR="00696B29">
              <w:rPr>
                <w:noProof/>
                <w:webHidden/>
              </w:rPr>
              <w:tab/>
            </w:r>
            <w:r>
              <w:rPr>
                <w:noProof/>
                <w:webHidden/>
              </w:rPr>
              <w:fldChar w:fldCharType="begin"/>
            </w:r>
            <w:r w:rsidR="00696B29">
              <w:rPr>
                <w:noProof/>
                <w:webHidden/>
              </w:rPr>
              <w:instrText xml:space="preserve"> PAGEREF _Toc362462015 \h </w:instrText>
            </w:r>
            <w:r>
              <w:rPr>
                <w:noProof/>
                <w:webHidden/>
              </w:rPr>
            </w:r>
            <w:r>
              <w:rPr>
                <w:noProof/>
                <w:webHidden/>
              </w:rPr>
              <w:fldChar w:fldCharType="separate"/>
            </w:r>
            <w:r w:rsidR="00696B29">
              <w:rPr>
                <w:noProof/>
                <w:webHidden/>
              </w:rPr>
              <w:t>12</w:t>
            </w:r>
            <w:r>
              <w:rPr>
                <w:noProof/>
                <w:webHidden/>
              </w:rPr>
              <w:fldChar w:fldCharType="end"/>
            </w:r>
          </w:hyperlink>
        </w:p>
        <w:p w:rsidR="00696B29" w:rsidRDefault="00504298">
          <w:pPr>
            <w:pStyle w:val="TOC1"/>
            <w:tabs>
              <w:tab w:val="left" w:pos="660"/>
            </w:tabs>
            <w:rPr>
              <w:noProof/>
              <w:lang w:bidi="ar-SA"/>
            </w:rPr>
          </w:pPr>
          <w:hyperlink w:anchor="_Toc362462016" w:history="1">
            <w:r w:rsidR="00696B29" w:rsidRPr="002E7E1A">
              <w:rPr>
                <w:rStyle w:val="Hyperlink"/>
                <w:rFonts w:ascii="Century Schoolbook" w:hAnsi="Century Schoolbook" w:cs="Times New Roman"/>
                <w:noProof/>
              </w:rPr>
              <w:t>B.</w:t>
            </w:r>
            <w:r w:rsidR="00696B29">
              <w:rPr>
                <w:noProof/>
                <w:lang w:bidi="ar-SA"/>
              </w:rPr>
              <w:tab/>
            </w:r>
            <w:r w:rsidR="00696B29" w:rsidRPr="002E7E1A">
              <w:rPr>
                <w:rStyle w:val="Hyperlink"/>
                <w:rFonts w:ascii="Century Schoolbook" w:hAnsi="Century Schoolbook" w:cs="Times New Roman"/>
                <w:noProof/>
              </w:rPr>
              <w:t>Privacy Concerns</w:t>
            </w:r>
            <w:r w:rsidR="00696B29">
              <w:rPr>
                <w:noProof/>
                <w:webHidden/>
              </w:rPr>
              <w:tab/>
            </w:r>
            <w:r>
              <w:rPr>
                <w:noProof/>
                <w:webHidden/>
              </w:rPr>
              <w:fldChar w:fldCharType="begin"/>
            </w:r>
            <w:r w:rsidR="00696B29">
              <w:rPr>
                <w:noProof/>
                <w:webHidden/>
              </w:rPr>
              <w:instrText xml:space="preserve"> PAGEREF _Toc362462016 \h </w:instrText>
            </w:r>
            <w:r>
              <w:rPr>
                <w:noProof/>
                <w:webHidden/>
              </w:rPr>
            </w:r>
            <w:r>
              <w:rPr>
                <w:noProof/>
                <w:webHidden/>
              </w:rPr>
              <w:fldChar w:fldCharType="separate"/>
            </w:r>
            <w:r w:rsidR="00696B29">
              <w:rPr>
                <w:noProof/>
                <w:webHidden/>
              </w:rPr>
              <w:t>15</w:t>
            </w:r>
            <w:r>
              <w:rPr>
                <w:noProof/>
                <w:webHidden/>
              </w:rPr>
              <w:fldChar w:fldCharType="end"/>
            </w:r>
          </w:hyperlink>
        </w:p>
        <w:p w:rsidR="00696B29" w:rsidRDefault="00504298">
          <w:pPr>
            <w:pStyle w:val="TOC1"/>
            <w:rPr>
              <w:noProof/>
              <w:lang w:bidi="ar-SA"/>
            </w:rPr>
          </w:pPr>
          <w:hyperlink w:anchor="_Toc362462017" w:history="1">
            <w:r w:rsidR="00696B29" w:rsidRPr="002E7E1A">
              <w:rPr>
                <w:rStyle w:val="Hyperlink"/>
                <w:rFonts w:cs="Times New Roman"/>
                <w:noProof/>
              </w:rPr>
              <w:t>IV. CONTROLS</w:t>
            </w:r>
            <w:r w:rsidR="00696B29">
              <w:rPr>
                <w:noProof/>
                <w:webHidden/>
              </w:rPr>
              <w:tab/>
            </w:r>
            <w:r>
              <w:rPr>
                <w:noProof/>
                <w:webHidden/>
              </w:rPr>
              <w:fldChar w:fldCharType="begin"/>
            </w:r>
            <w:r w:rsidR="00696B29">
              <w:rPr>
                <w:noProof/>
                <w:webHidden/>
              </w:rPr>
              <w:instrText xml:space="preserve"> PAGEREF _Toc362462017 \h </w:instrText>
            </w:r>
            <w:r>
              <w:rPr>
                <w:noProof/>
                <w:webHidden/>
              </w:rPr>
            </w:r>
            <w:r>
              <w:rPr>
                <w:noProof/>
                <w:webHidden/>
              </w:rPr>
              <w:fldChar w:fldCharType="separate"/>
            </w:r>
            <w:r w:rsidR="00696B29">
              <w:rPr>
                <w:noProof/>
                <w:webHidden/>
              </w:rPr>
              <w:t>21</w:t>
            </w:r>
            <w:r>
              <w:rPr>
                <w:noProof/>
                <w:webHidden/>
              </w:rPr>
              <w:fldChar w:fldCharType="end"/>
            </w:r>
          </w:hyperlink>
        </w:p>
        <w:p w:rsidR="00696B29" w:rsidRDefault="00504298">
          <w:pPr>
            <w:pStyle w:val="TOC1"/>
            <w:tabs>
              <w:tab w:val="left" w:pos="660"/>
            </w:tabs>
            <w:rPr>
              <w:noProof/>
              <w:lang w:bidi="ar-SA"/>
            </w:rPr>
          </w:pPr>
          <w:hyperlink w:anchor="_Toc362462018" w:history="1">
            <w:r w:rsidR="00696B29" w:rsidRPr="002E7E1A">
              <w:rPr>
                <w:rStyle w:val="Hyperlink"/>
                <w:rFonts w:ascii="Century Schoolbook" w:hAnsi="Century Schoolbook" w:cs="Times New Roman"/>
                <w:noProof/>
              </w:rPr>
              <w:t>A.</w:t>
            </w:r>
            <w:r w:rsidR="00696B29">
              <w:rPr>
                <w:noProof/>
                <w:lang w:bidi="ar-SA"/>
              </w:rPr>
              <w:tab/>
            </w:r>
            <w:r w:rsidR="00696B29" w:rsidRPr="002E7E1A">
              <w:rPr>
                <w:rStyle w:val="Hyperlink"/>
                <w:rFonts w:ascii="Century Schoolbook" w:hAnsi="Century Schoolbook" w:cs="Times New Roman"/>
                <w:noProof/>
              </w:rPr>
              <w:t>Technological Solutions</w:t>
            </w:r>
            <w:r w:rsidR="00696B29">
              <w:rPr>
                <w:noProof/>
                <w:webHidden/>
              </w:rPr>
              <w:tab/>
            </w:r>
            <w:r>
              <w:rPr>
                <w:noProof/>
                <w:webHidden/>
              </w:rPr>
              <w:fldChar w:fldCharType="begin"/>
            </w:r>
            <w:r w:rsidR="00696B29">
              <w:rPr>
                <w:noProof/>
                <w:webHidden/>
              </w:rPr>
              <w:instrText xml:space="preserve"> PAGEREF _Toc362462018 \h </w:instrText>
            </w:r>
            <w:r>
              <w:rPr>
                <w:noProof/>
                <w:webHidden/>
              </w:rPr>
            </w:r>
            <w:r>
              <w:rPr>
                <w:noProof/>
                <w:webHidden/>
              </w:rPr>
              <w:fldChar w:fldCharType="separate"/>
            </w:r>
            <w:r w:rsidR="00696B29">
              <w:rPr>
                <w:noProof/>
                <w:webHidden/>
              </w:rPr>
              <w:t>21</w:t>
            </w:r>
            <w:r>
              <w:rPr>
                <w:noProof/>
                <w:webHidden/>
              </w:rPr>
              <w:fldChar w:fldCharType="end"/>
            </w:r>
          </w:hyperlink>
        </w:p>
        <w:p w:rsidR="00696B29" w:rsidRDefault="00504298">
          <w:pPr>
            <w:pStyle w:val="TOC1"/>
            <w:tabs>
              <w:tab w:val="left" w:pos="660"/>
            </w:tabs>
            <w:rPr>
              <w:noProof/>
              <w:lang w:bidi="ar-SA"/>
            </w:rPr>
          </w:pPr>
          <w:hyperlink w:anchor="_Toc362462019" w:history="1">
            <w:r w:rsidR="00696B29" w:rsidRPr="002E7E1A">
              <w:rPr>
                <w:rStyle w:val="Hyperlink"/>
                <w:rFonts w:ascii="Century Schoolbook" w:hAnsi="Century Schoolbook" w:cs="Times New Roman"/>
                <w:noProof/>
              </w:rPr>
              <w:t>B.</w:t>
            </w:r>
            <w:r w:rsidR="00696B29">
              <w:rPr>
                <w:noProof/>
                <w:lang w:bidi="ar-SA"/>
              </w:rPr>
              <w:tab/>
            </w:r>
            <w:r w:rsidR="00696B29" w:rsidRPr="002E7E1A">
              <w:rPr>
                <w:rStyle w:val="Hyperlink"/>
                <w:rFonts w:ascii="Century Schoolbook" w:hAnsi="Century Schoolbook" w:cs="Times New Roman"/>
                <w:noProof/>
              </w:rPr>
              <w:t>Organizational Solutions</w:t>
            </w:r>
            <w:r w:rsidR="00696B29">
              <w:rPr>
                <w:noProof/>
                <w:webHidden/>
              </w:rPr>
              <w:tab/>
            </w:r>
            <w:r>
              <w:rPr>
                <w:noProof/>
                <w:webHidden/>
              </w:rPr>
              <w:fldChar w:fldCharType="begin"/>
            </w:r>
            <w:r w:rsidR="00696B29">
              <w:rPr>
                <w:noProof/>
                <w:webHidden/>
              </w:rPr>
              <w:instrText xml:space="preserve"> PAGEREF _Toc362462019 \h </w:instrText>
            </w:r>
            <w:r>
              <w:rPr>
                <w:noProof/>
                <w:webHidden/>
              </w:rPr>
            </w:r>
            <w:r>
              <w:rPr>
                <w:noProof/>
                <w:webHidden/>
              </w:rPr>
              <w:fldChar w:fldCharType="separate"/>
            </w:r>
            <w:r w:rsidR="00696B29">
              <w:rPr>
                <w:noProof/>
                <w:webHidden/>
              </w:rPr>
              <w:t>23</w:t>
            </w:r>
            <w:r>
              <w:rPr>
                <w:noProof/>
                <w:webHidden/>
              </w:rPr>
              <w:fldChar w:fldCharType="end"/>
            </w:r>
          </w:hyperlink>
        </w:p>
        <w:p w:rsidR="00696B29" w:rsidRDefault="00504298">
          <w:pPr>
            <w:pStyle w:val="TOC1"/>
            <w:rPr>
              <w:noProof/>
              <w:lang w:bidi="ar-SA"/>
            </w:rPr>
          </w:pPr>
          <w:hyperlink w:anchor="_Toc362462020" w:history="1">
            <w:r w:rsidR="00696B29" w:rsidRPr="002E7E1A">
              <w:rPr>
                <w:rStyle w:val="Hyperlink"/>
                <w:rFonts w:cs="Times New Roman"/>
                <w:noProof/>
              </w:rPr>
              <w:t>V. CONCLUSION</w:t>
            </w:r>
            <w:r w:rsidR="00696B29">
              <w:rPr>
                <w:noProof/>
                <w:webHidden/>
              </w:rPr>
              <w:tab/>
            </w:r>
            <w:r>
              <w:rPr>
                <w:noProof/>
                <w:webHidden/>
              </w:rPr>
              <w:fldChar w:fldCharType="begin"/>
            </w:r>
            <w:r w:rsidR="00696B29">
              <w:rPr>
                <w:noProof/>
                <w:webHidden/>
              </w:rPr>
              <w:instrText xml:space="preserve"> PAGEREF _Toc362462020 \h </w:instrText>
            </w:r>
            <w:r>
              <w:rPr>
                <w:noProof/>
                <w:webHidden/>
              </w:rPr>
            </w:r>
            <w:r>
              <w:rPr>
                <w:noProof/>
                <w:webHidden/>
              </w:rPr>
              <w:fldChar w:fldCharType="separate"/>
            </w:r>
            <w:r w:rsidR="00696B29">
              <w:rPr>
                <w:noProof/>
                <w:webHidden/>
              </w:rPr>
              <w:t>24</w:t>
            </w:r>
            <w:r>
              <w:rPr>
                <w:noProof/>
                <w:webHidden/>
              </w:rPr>
              <w:fldChar w:fldCharType="end"/>
            </w:r>
          </w:hyperlink>
        </w:p>
        <w:p w:rsidR="00CA02C4" w:rsidRDefault="00504298" w:rsidP="0002068B">
          <w:pPr>
            <w:spacing w:before="100" w:beforeAutospacing="1" w:after="0" w:line="360" w:lineRule="auto"/>
            <w:jc w:val="both"/>
            <w:rPr>
              <w:rFonts w:ascii="Century Schoolbook" w:hAnsi="Century Schoolbook" w:cs="Times New Roman"/>
              <w:sz w:val="24"/>
              <w:szCs w:val="24"/>
            </w:rPr>
          </w:pPr>
          <w:r w:rsidRPr="00E56B4D">
            <w:rPr>
              <w:rFonts w:ascii="Century Schoolbook" w:hAnsi="Century Schoolbook" w:cs="Times New Roman"/>
              <w:sz w:val="24"/>
              <w:szCs w:val="24"/>
            </w:rPr>
            <w:fldChar w:fldCharType="end"/>
          </w:r>
        </w:p>
      </w:sdtContent>
    </w:sdt>
    <w:p w:rsidR="00D1193B" w:rsidRPr="00E56B4D" w:rsidRDefault="00D1193B" w:rsidP="0002068B">
      <w:pPr>
        <w:spacing w:before="100" w:beforeAutospacing="1" w:after="0" w:line="360" w:lineRule="auto"/>
        <w:jc w:val="both"/>
        <w:rPr>
          <w:rFonts w:ascii="Century Schoolbook" w:hAnsi="Century Schoolbook" w:cs="Times New Roman"/>
          <w:sz w:val="24"/>
          <w:szCs w:val="24"/>
        </w:rPr>
      </w:pPr>
    </w:p>
    <w:p w:rsidR="00CA02C4" w:rsidRPr="00E56B4D" w:rsidRDefault="00CA02C4" w:rsidP="0002068B">
      <w:pPr>
        <w:spacing w:before="100" w:beforeAutospacing="1" w:after="240" w:line="480" w:lineRule="auto"/>
        <w:jc w:val="both"/>
        <w:rPr>
          <w:rFonts w:ascii="Century Schoolbook" w:hAnsi="Century Schoolbook" w:cs="Times New Roman"/>
          <w:b/>
          <w:kern w:val="2"/>
          <w:sz w:val="24"/>
          <w:szCs w:val="24"/>
        </w:rPr>
      </w:pPr>
      <w:r w:rsidRPr="00E56B4D">
        <w:rPr>
          <w:rFonts w:ascii="Century Schoolbook" w:hAnsi="Century Schoolbook" w:cs="Times New Roman"/>
          <w:sz w:val="24"/>
          <w:szCs w:val="24"/>
        </w:rPr>
        <w:br w:type="page"/>
      </w:r>
    </w:p>
    <w:p w:rsidR="00D94A52" w:rsidRPr="00E56B4D" w:rsidRDefault="009F0ED5" w:rsidP="0002068B">
      <w:pPr>
        <w:pStyle w:val="Heading"/>
        <w:spacing w:before="360" w:beforeAutospacing="1" w:after="240" w:line="480" w:lineRule="auto"/>
        <w:jc w:val="both"/>
        <w:rPr>
          <w:rFonts w:cs="Times New Roman"/>
        </w:rPr>
      </w:pPr>
      <w:bookmarkStart w:id="0" w:name="_Toc362462010"/>
      <w:r w:rsidRPr="00E56B4D">
        <w:rPr>
          <w:rFonts w:cs="Times New Roman"/>
        </w:rPr>
        <w:lastRenderedPageBreak/>
        <w:t xml:space="preserve">I. </w:t>
      </w:r>
      <w:r w:rsidR="000221A0" w:rsidRPr="00E56B4D">
        <w:rPr>
          <w:rFonts w:cs="Times New Roman"/>
        </w:rPr>
        <w:t>INTRODUCTION</w:t>
      </w:r>
      <w:bookmarkEnd w:id="0"/>
    </w:p>
    <w:p w:rsidR="00527293" w:rsidRDefault="00D67776" w:rsidP="0002068B">
      <w:pPr>
        <w:pStyle w:val="Text"/>
        <w:spacing w:before="100" w:beforeAutospacing="1" w:after="240"/>
        <w:jc w:val="both"/>
        <w:rPr>
          <w:rFonts w:ascii="Century Schoolbook" w:hAnsi="Century Schoolbook" w:cs="Times New Roman"/>
        </w:rPr>
      </w:pPr>
      <w:r w:rsidRPr="00E56B4D">
        <w:rPr>
          <w:rFonts w:ascii="Century Schoolbook" w:hAnsi="Century Schoolbook" w:cs="Times New Roman"/>
        </w:rPr>
        <w:t>There has been a lot of</w:t>
      </w:r>
      <w:r w:rsidR="00AF7982" w:rsidRPr="00E56B4D">
        <w:rPr>
          <w:rFonts w:ascii="Century Schoolbook" w:hAnsi="Century Schoolbook" w:cs="Times New Roman"/>
        </w:rPr>
        <w:t xml:space="preserve"> </w:t>
      </w:r>
      <w:r w:rsidR="0003493F">
        <w:rPr>
          <w:rFonts w:ascii="Century Schoolbook" w:hAnsi="Century Schoolbook" w:cs="Times New Roman"/>
        </w:rPr>
        <w:t xml:space="preserve">recent </w:t>
      </w:r>
      <w:r w:rsidR="00440FC3">
        <w:rPr>
          <w:rFonts w:ascii="Century Schoolbook" w:hAnsi="Century Schoolbook" w:cs="Times New Roman"/>
        </w:rPr>
        <w:t xml:space="preserve">discourse </w:t>
      </w:r>
      <w:r w:rsidR="00657546">
        <w:rPr>
          <w:rFonts w:ascii="Century Schoolbook" w:hAnsi="Century Schoolbook" w:cs="Times New Roman"/>
        </w:rPr>
        <w:t xml:space="preserve">about database mining and statistical analysis of commercial </w:t>
      </w:r>
      <w:r w:rsidR="00AF7982" w:rsidRPr="00E56B4D">
        <w:rPr>
          <w:rFonts w:ascii="Century Schoolbook" w:hAnsi="Century Schoolbook" w:cs="Times New Roman"/>
        </w:rPr>
        <w:t>databases,</w:t>
      </w:r>
      <w:r w:rsidR="00207AD0" w:rsidRPr="00E56B4D">
        <w:rPr>
          <w:rFonts w:ascii="Century Schoolbook" w:hAnsi="Century Schoolbook" w:cs="Times New Roman"/>
        </w:rPr>
        <w:t xml:space="preserve"> especially as databases become larger, more aggregated, and more widely used.  </w:t>
      </w:r>
      <w:r w:rsidR="00657546">
        <w:rPr>
          <w:rFonts w:ascii="Century Schoolbook" w:hAnsi="Century Schoolbook" w:cs="Times New Roman"/>
        </w:rPr>
        <w:t xml:space="preserve">The </w:t>
      </w:r>
      <w:r w:rsidR="00EE6024">
        <w:rPr>
          <w:rFonts w:ascii="Century Schoolbook" w:hAnsi="Century Schoolbook" w:cs="Times New Roman"/>
        </w:rPr>
        <w:t>discussion has focused on the transparency and privacy aspects of becoming a data society</w:t>
      </w:r>
      <w:r w:rsidR="00657546">
        <w:rPr>
          <w:rFonts w:ascii="Century Schoolbook" w:hAnsi="Century Schoolbook" w:cs="Times New Roman"/>
        </w:rPr>
        <w:t xml:space="preserve"> with the </w:t>
      </w:r>
      <w:r w:rsidR="0025345A" w:rsidRPr="00E56B4D">
        <w:rPr>
          <w:rFonts w:ascii="Century Schoolbook" w:hAnsi="Century Schoolbook" w:cs="Times New Roman"/>
        </w:rPr>
        <w:t xml:space="preserve">bulk of </w:t>
      </w:r>
      <w:r w:rsidR="00657546">
        <w:rPr>
          <w:rFonts w:ascii="Century Schoolbook" w:hAnsi="Century Schoolbook" w:cs="Times New Roman"/>
        </w:rPr>
        <w:t xml:space="preserve">the </w:t>
      </w:r>
      <w:r w:rsidR="0025345A" w:rsidRPr="00E56B4D">
        <w:rPr>
          <w:rFonts w:ascii="Century Schoolbook" w:hAnsi="Century Schoolbook" w:cs="Times New Roman"/>
        </w:rPr>
        <w:t xml:space="preserve">reflection </w:t>
      </w:r>
      <w:r w:rsidR="00657546">
        <w:rPr>
          <w:rFonts w:ascii="Century Schoolbook" w:hAnsi="Century Schoolbook" w:cs="Times New Roman"/>
        </w:rPr>
        <w:t xml:space="preserve">on </w:t>
      </w:r>
      <w:r w:rsidR="0025345A" w:rsidRPr="00E56B4D">
        <w:rPr>
          <w:rFonts w:ascii="Century Schoolbook" w:hAnsi="Century Schoolbook" w:cs="Times New Roman"/>
        </w:rPr>
        <w:t>commercial databases</w:t>
      </w:r>
      <w:r w:rsidR="00527293">
        <w:rPr>
          <w:rFonts w:ascii="Century Schoolbook" w:hAnsi="Century Schoolbook" w:cs="Times New Roman"/>
        </w:rPr>
        <w:t xml:space="preserve">; however, governmental databases and, specifically, </w:t>
      </w:r>
      <w:r w:rsidR="00F8567B">
        <w:rPr>
          <w:rFonts w:ascii="Century Schoolbook" w:hAnsi="Century Schoolbook" w:cs="Times New Roman"/>
        </w:rPr>
        <w:t xml:space="preserve">legal </w:t>
      </w:r>
      <w:r w:rsidR="00527293">
        <w:rPr>
          <w:rFonts w:ascii="Century Schoolbook" w:hAnsi="Century Schoolbook" w:cs="Times New Roman"/>
        </w:rPr>
        <w:t>databases</w:t>
      </w:r>
      <w:r w:rsidR="00772171">
        <w:rPr>
          <w:rFonts w:ascii="Century Schoolbook" w:hAnsi="Century Schoolbook" w:cs="Times New Roman"/>
        </w:rPr>
        <w:t xml:space="preserve"> </w:t>
      </w:r>
      <w:r w:rsidR="00EE6024">
        <w:rPr>
          <w:rFonts w:ascii="Century Schoolbook" w:hAnsi="Century Schoolbook" w:cs="Times New Roman"/>
        </w:rPr>
        <w:t xml:space="preserve">are also </w:t>
      </w:r>
      <w:r w:rsidR="007525B5" w:rsidRPr="00E56B4D">
        <w:rPr>
          <w:rFonts w:ascii="Century Schoolbook" w:hAnsi="Century Schoolbook" w:cs="Times New Roman"/>
        </w:rPr>
        <w:t xml:space="preserve">concerns </w:t>
      </w:r>
      <w:r w:rsidR="00EE6024">
        <w:rPr>
          <w:rFonts w:ascii="Century Schoolbook" w:hAnsi="Century Schoolbook" w:cs="Times New Roman"/>
        </w:rPr>
        <w:t xml:space="preserve">as they grow </w:t>
      </w:r>
      <w:r w:rsidR="008F4BF6">
        <w:rPr>
          <w:rFonts w:ascii="Century Schoolbook" w:hAnsi="Century Schoolbook" w:cs="Times New Roman"/>
        </w:rPr>
        <w:t xml:space="preserve">and become </w:t>
      </w:r>
      <w:r w:rsidR="007525B5" w:rsidRPr="00E56B4D">
        <w:rPr>
          <w:rFonts w:ascii="Century Schoolbook" w:hAnsi="Century Schoolbook" w:cs="Times New Roman"/>
        </w:rPr>
        <w:t>as large, if not, larger</w:t>
      </w:r>
      <w:r w:rsidR="00772171">
        <w:rPr>
          <w:rFonts w:ascii="Century Schoolbook" w:hAnsi="Century Schoolbook" w:cs="Times New Roman"/>
        </w:rPr>
        <w:t xml:space="preserve"> than the private databases</w:t>
      </w:r>
      <w:r w:rsidR="007525B5" w:rsidRPr="00E56B4D">
        <w:rPr>
          <w:rFonts w:ascii="Century Schoolbook" w:hAnsi="Century Schoolbook" w:cs="Times New Roman"/>
        </w:rPr>
        <w:t xml:space="preserve">.  </w:t>
      </w:r>
      <w:r w:rsidR="00657546">
        <w:rPr>
          <w:rFonts w:ascii="Century Schoolbook" w:hAnsi="Century Schoolbook" w:cs="Times New Roman"/>
        </w:rPr>
        <w:t xml:space="preserve">While the majority of the </w:t>
      </w:r>
      <w:r w:rsidR="00B00001">
        <w:rPr>
          <w:rFonts w:ascii="Century Schoolbook" w:hAnsi="Century Schoolbook" w:cs="Times New Roman"/>
        </w:rPr>
        <w:t xml:space="preserve">contemporary </w:t>
      </w:r>
      <w:r w:rsidR="00657546">
        <w:rPr>
          <w:rFonts w:ascii="Century Schoolbook" w:hAnsi="Century Schoolbook" w:cs="Times New Roman"/>
        </w:rPr>
        <w:t>discussion has been concerned with the growth of corporate databases, a</w:t>
      </w:r>
      <w:r w:rsidR="0072397B" w:rsidRPr="00E56B4D">
        <w:rPr>
          <w:rFonts w:ascii="Century Schoolbook" w:hAnsi="Century Schoolbook" w:cs="Times New Roman"/>
        </w:rPr>
        <w:t xml:space="preserve">ny concern that society has for </w:t>
      </w:r>
      <w:r w:rsidR="0021122D">
        <w:rPr>
          <w:rFonts w:ascii="Century Schoolbook" w:hAnsi="Century Schoolbook" w:cs="Times New Roman"/>
        </w:rPr>
        <w:t xml:space="preserve">the </w:t>
      </w:r>
      <w:r w:rsidR="0072397B" w:rsidRPr="00E56B4D">
        <w:rPr>
          <w:rFonts w:ascii="Century Schoolbook" w:hAnsi="Century Schoolbook" w:cs="Times New Roman"/>
        </w:rPr>
        <w:t xml:space="preserve">private sphere </w:t>
      </w:r>
      <w:r w:rsidR="00207AD0" w:rsidRPr="00E56B4D">
        <w:rPr>
          <w:rFonts w:ascii="Century Schoolbook" w:hAnsi="Century Schoolbook" w:cs="Times New Roman"/>
        </w:rPr>
        <w:t xml:space="preserve">should not overlook the same </w:t>
      </w:r>
      <w:r w:rsidR="00657546">
        <w:rPr>
          <w:rFonts w:ascii="Century Schoolbook" w:hAnsi="Century Schoolbook" w:cs="Times New Roman"/>
        </w:rPr>
        <w:t xml:space="preserve">concerns </w:t>
      </w:r>
      <w:r w:rsidR="00207AD0" w:rsidRPr="00E56B4D">
        <w:rPr>
          <w:rFonts w:ascii="Century Schoolbook" w:hAnsi="Century Schoolbook" w:cs="Times New Roman"/>
        </w:rPr>
        <w:t>in the government</w:t>
      </w:r>
      <w:r w:rsidR="00657546">
        <w:rPr>
          <w:rFonts w:ascii="Century Schoolbook" w:hAnsi="Century Schoolbook" w:cs="Times New Roman"/>
        </w:rPr>
        <w:t>al</w:t>
      </w:r>
      <w:r w:rsidR="0072397B" w:rsidRPr="00E56B4D">
        <w:rPr>
          <w:rFonts w:ascii="Century Schoolbook" w:hAnsi="Century Schoolbook" w:cs="Times New Roman"/>
        </w:rPr>
        <w:t xml:space="preserve"> sphere</w:t>
      </w:r>
      <w:r w:rsidR="00A05001" w:rsidRPr="00E56B4D">
        <w:rPr>
          <w:rFonts w:ascii="Century Schoolbook" w:hAnsi="Century Schoolbook" w:cs="Times New Roman"/>
        </w:rPr>
        <w:t xml:space="preserve">.  </w:t>
      </w:r>
    </w:p>
    <w:p w:rsidR="008F4BF6" w:rsidRDefault="00910D05" w:rsidP="006D7436">
      <w:pPr>
        <w:pStyle w:val="Text"/>
        <w:spacing w:before="100" w:beforeAutospacing="1" w:after="240"/>
        <w:jc w:val="both"/>
        <w:rPr>
          <w:rFonts w:ascii="Century Schoolbook" w:hAnsi="Century Schoolbook" w:cs="Times New Roman"/>
        </w:rPr>
      </w:pPr>
      <w:r>
        <w:rPr>
          <w:rFonts w:ascii="Century Schoolbook" w:hAnsi="Century Schoolbook" w:cs="Times New Roman"/>
        </w:rPr>
        <w:t>A</w:t>
      </w:r>
      <w:r w:rsidR="0021122D">
        <w:rPr>
          <w:rFonts w:ascii="Century Schoolbook" w:hAnsi="Century Schoolbook" w:cs="Times New Roman"/>
        </w:rPr>
        <w:t xml:space="preserve"> </w:t>
      </w:r>
      <w:r w:rsidR="00527293">
        <w:rPr>
          <w:rFonts w:ascii="Century Schoolbook" w:hAnsi="Century Schoolbook" w:cs="Times New Roman"/>
        </w:rPr>
        <w:t xml:space="preserve">very </w:t>
      </w:r>
      <w:r w:rsidR="0021122D">
        <w:rPr>
          <w:rFonts w:ascii="Century Schoolbook" w:hAnsi="Century Schoolbook" w:cs="Times New Roman"/>
        </w:rPr>
        <w:t>recent TIME magazine article by</w:t>
      </w:r>
      <w:r w:rsidR="00641429" w:rsidRPr="00E56B4D">
        <w:rPr>
          <w:rFonts w:ascii="Century Schoolbook" w:hAnsi="Century Schoolbook" w:cs="Times New Roman"/>
        </w:rPr>
        <w:t xml:space="preserve"> Joel Stein</w:t>
      </w:r>
      <w:r w:rsidR="00A46AB9" w:rsidRPr="00E56B4D">
        <w:rPr>
          <w:rFonts w:ascii="Century Schoolbook" w:hAnsi="Century Schoolbook" w:cs="Times New Roman"/>
        </w:rPr>
        <w:t xml:space="preserve"> </w:t>
      </w:r>
      <w:r w:rsidR="00641429" w:rsidRPr="00E56B4D">
        <w:rPr>
          <w:rFonts w:ascii="Century Schoolbook" w:hAnsi="Century Schoolbook" w:cs="Times New Roman"/>
        </w:rPr>
        <w:t>titled,</w:t>
      </w:r>
      <w:r w:rsidR="00A46AB9" w:rsidRPr="00E56B4D">
        <w:rPr>
          <w:rFonts w:ascii="Century Schoolbook" w:hAnsi="Century Schoolbook" w:cs="Times New Roman"/>
        </w:rPr>
        <w:t xml:space="preserve"> "</w:t>
      </w:r>
      <w:r w:rsidR="002B0501" w:rsidRPr="00E56B4D">
        <w:rPr>
          <w:rFonts w:ascii="Century Schoolbook" w:hAnsi="Century Schoolbook" w:cs="Times New Roman"/>
          <w:i/>
        </w:rPr>
        <w:t xml:space="preserve">Data </w:t>
      </w:r>
      <w:r w:rsidR="00641429" w:rsidRPr="00E56B4D">
        <w:rPr>
          <w:rFonts w:ascii="Century Schoolbook" w:hAnsi="Century Schoolbook" w:cs="Times New Roman"/>
          <w:i/>
        </w:rPr>
        <w:t>Mining:</w:t>
      </w:r>
      <w:r w:rsidR="0021122D">
        <w:rPr>
          <w:rFonts w:ascii="Century Schoolbook" w:hAnsi="Century Schoolbook" w:cs="Times New Roman"/>
          <w:i/>
        </w:rPr>
        <w:t xml:space="preserve"> h</w:t>
      </w:r>
      <w:r w:rsidR="00A46AB9" w:rsidRPr="00E56B4D">
        <w:rPr>
          <w:rFonts w:ascii="Century Schoolbook" w:hAnsi="Century Schoolbook" w:cs="Times New Roman"/>
          <w:i/>
        </w:rPr>
        <w:t xml:space="preserve">ow </w:t>
      </w:r>
      <w:r w:rsidR="0021122D">
        <w:rPr>
          <w:rFonts w:ascii="Century Schoolbook" w:hAnsi="Century Schoolbook" w:cs="Times New Roman"/>
          <w:i/>
        </w:rPr>
        <w:t>companies now k</w:t>
      </w:r>
      <w:r w:rsidR="00641429" w:rsidRPr="00E56B4D">
        <w:rPr>
          <w:rFonts w:ascii="Century Schoolbook" w:hAnsi="Century Schoolbook" w:cs="Times New Roman"/>
          <w:i/>
        </w:rPr>
        <w:t xml:space="preserve">now </w:t>
      </w:r>
      <w:r w:rsidR="0021122D">
        <w:rPr>
          <w:rFonts w:ascii="Century Schoolbook" w:hAnsi="Century Schoolbook" w:cs="Times New Roman"/>
          <w:i/>
        </w:rPr>
        <w:t>e</w:t>
      </w:r>
      <w:r w:rsidR="00641429" w:rsidRPr="00E56B4D">
        <w:rPr>
          <w:rFonts w:ascii="Century Schoolbook" w:hAnsi="Century Schoolbook" w:cs="Times New Roman"/>
          <w:i/>
        </w:rPr>
        <w:t xml:space="preserve">verything </w:t>
      </w:r>
      <w:r w:rsidR="002B0501" w:rsidRPr="00E56B4D">
        <w:rPr>
          <w:rFonts w:ascii="Century Schoolbook" w:hAnsi="Century Schoolbook" w:cs="Times New Roman"/>
          <w:i/>
        </w:rPr>
        <w:t>about</w:t>
      </w:r>
      <w:r w:rsidR="00641429" w:rsidRPr="00E56B4D">
        <w:rPr>
          <w:rFonts w:ascii="Century Schoolbook" w:hAnsi="Century Schoolbook" w:cs="Times New Roman"/>
          <w:i/>
        </w:rPr>
        <w:t xml:space="preserve"> </w:t>
      </w:r>
      <w:r w:rsidR="0021122D" w:rsidRPr="00E56B4D">
        <w:rPr>
          <w:rFonts w:ascii="Century Schoolbook" w:hAnsi="Century Schoolbook" w:cs="Times New Roman"/>
          <w:i/>
        </w:rPr>
        <w:t>you</w:t>
      </w:r>
      <w:r w:rsidR="00A46AB9" w:rsidRPr="00E56B4D">
        <w:rPr>
          <w:rFonts w:ascii="Century Schoolbook" w:hAnsi="Century Schoolbook" w:cs="Times New Roman"/>
          <w:i/>
        </w:rPr>
        <w:t>?"</w:t>
      </w:r>
      <w:r w:rsidR="00641429" w:rsidRPr="00E56B4D">
        <w:rPr>
          <w:rFonts w:ascii="Century Schoolbook" w:hAnsi="Century Schoolbook" w:cs="Times New Roman"/>
        </w:rPr>
        <w:t xml:space="preserve"> </w:t>
      </w:r>
      <w:r w:rsidR="0021122D">
        <w:rPr>
          <w:rFonts w:ascii="Century Schoolbook" w:hAnsi="Century Schoolbook" w:cs="Times New Roman"/>
        </w:rPr>
        <w:t xml:space="preserve">echoed </w:t>
      </w:r>
      <w:r w:rsidR="00657546">
        <w:rPr>
          <w:rFonts w:ascii="Century Schoolbook" w:hAnsi="Century Schoolbook" w:cs="Times New Roman"/>
        </w:rPr>
        <w:t xml:space="preserve">a </w:t>
      </w:r>
      <w:r w:rsidR="0021122D" w:rsidRPr="00E56B4D">
        <w:rPr>
          <w:rFonts w:ascii="Century Schoolbook" w:hAnsi="Century Schoolbook" w:cs="Times New Roman"/>
        </w:rPr>
        <w:t xml:space="preserve">current societal </w:t>
      </w:r>
      <w:r w:rsidR="00657546">
        <w:rPr>
          <w:rFonts w:ascii="Century Schoolbook" w:hAnsi="Century Schoolbook" w:cs="Times New Roman"/>
        </w:rPr>
        <w:t xml:space="preserve">paranoia </w:t>
      </w:r>
      <w:r>
        <w:rPr>
          <w:rFonts w:ascii="Century Schoolbook" w:hAnsi="Century Schoolbook" w:cs="Times New Roman"/>
        </w:rPr>
        <w:t xml:space="preserve">of </w:t>
      </w:r>
      <w:r w:rsidR="00657546">
        <w:rPr>
          <w:rFonts w:ascii="Century Schoolbook" w:hAnsi="Century Schoolbook" w:cs="Times New Roman"/>
        </w:rPr>
        <w:t xml:space="preserve">commercial </w:t>
      </w:r>
      <w:r>
        <w:rPr>
          <w:rFonts w:ascii="Century Schoolbook" w:hAnsi="Century Schoolbook" w:cs="Times New Roman"/>
        </w:rPr>
        <w:t>databases</w:t>
      </w:r>
      <w:r w:rsidR="0021122D">
        <w:rPr>
          <w:rFonts w:ascii="Century Schoolbook" w:hAnsi="Century Schoolbook" w:cs="Times New Roman"/>
        </w:rPr>
        <w:t>.</w:t>
      </w:r>
      <w:r w:rsidR="0021122D" w:rsidRPr="0021122D">
        <w:rPr>
          <w:rStyle w:val="EndnoteReference"/>
          <w:rFonts w:ascii="Century Schoolbook" w:hAnsi="Century Schoolbook" w:cs="Times New Roman"/>
        </w:rPr>
        <w:endnoteReference w:id="1"/>
      </w:r>
      <w:r w:rsidR="002B0501" w:rsidRPr="0021122D">
        <w:rPr>
          <w:rFonts w:ascii="Century Schoolbook" w:hAnsi="Century Schoolbook" w:cs="Times New Roman"/>
        </w:rPr>
        <w:t xml:space="preserve"> </w:t>
      </w:r>
      <w:r w:rsidR="0021122D">
        <w:rPr>
          <w:rFonts w:ascii="Century Schoolbook" w:hAnsi="Century Schoolbook" w:cs="Times New Roman"/>
        </w:rPr>
        <w:t xml:space="preserve"> </w:t>
      </w:r>
      <w:r w:rsidR="00657546">
        <w:rPr>
          <w:rFonts w:ascii="Century Schoolbook" w:hAnsi="Century Schoolbook" w:cs="Times New Roman"/>
        </w:rPr>
        <w:t>C</w:t>
      </w:r>
      <w:r w:rsidR="00641429" w:rsidRPr="00E56B4D">
        <w:rPr>
          <w:rFonts w:ascii="Century Schoolbook" w:hAnsi="Century Schoolbook" w:cs="Times New Roman"/>
        </w:rPr>
        <w:t xml:space="preserve">ompanies are </w:t>
      </w:r>
      <w:r w:rsidR="00657546">
        <w:rPr>
          <w:rFonts w:ascii="Century Schoolbook" w:hAnsi="Century Schoolbook" w:cs="Times New Roman"/>
        </w:rPr>
        <w:t>leveraging the latest data-</w:t>
      </w:r>
      <w:r w:rsidR="00641429" w:rsidRPr="00E56B4D">
        <w:rPr>
          <w:rFonts w:ascii="Century Schoolbook" w:hAnsi="Century Schoolbook" w:cs="Times New Roman"/>
        </w:rPr>
        <w:t>mining and statistical analysis tools to understand these databases</w:t>
      </w:r>
      <w:r w:rsidR="0025345A" w:rsidRPr="00E56B4D">
        <w:rPr>
          <w:rFonts w:ascii="Century Schoolbook" w:hAnsi="Century Schoolbook" w:cs="Times New Roman"/>
        </w:rPr>
        <w:t xml:space="preserve"> and understand us</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2"/>
      </w:r>
      <w:r w:rsidR="00641429" w:rsidRPr="00E56B4D">
        <w:rPr>
          <w:rStyle w:val="EndnoteReference"/>
          <w:rFonts w:ascii="Century Schoolbook" w:hAnsi="Century Schoolbook" w:cs="Times New Roman"/>
        </w:rPr>
        <w:t xml:space="preserve"> </w:t>
      </w:r>
      <w:r w:rsidR="00641429" w:rsidRPr="00E56B4D">
        <w:rPr>
          <w:rFonts w:ascii="Century Schoolbook" w:hAnsi="Century Schoolbook" w:cs="Times New Roman"/>
        </w:rPr>
        <w:t xml:space="preserve">  </w:t>
      </w:r>
      <w:r w:rsidR="00527293">
        <w:rPr>
          <w:rFonts w:ascii="Century Schoolbook" w:hAnsi="Century Schoolbook" w:cs="Times New Roman"/>
        </w:rPr>
        <w:t xml:space="preserve">Stein </w:t>
      </w:r>
      <w:r w:rsidR="00641429" w:rsidRPr="00E56B4D">
        <w:rPr>
          <w:rFonts w:ascii="Century Schoolbook" w:hAnsi="Century Schoolbook" w:cs="Times New Roman"/>
        </w:rPr>
        <w:t xml:space="preserve">describes how Google, </w:t>
      </w:r>
      <w:proofErr w:type="spellStart"/>
      <w:r w:rsidR="00641429" w:rsidRPr="00E56B4D">
        <w:rPr>
          <w:rFonts w:ascii="Century Schoolbook" w:hAnsi="Century Schoolbook" w:cs="Times New Roman"/>
        </w:rPr>
        <w:t>Facebook</w:t>
      </w:r>
      <w:proofErr w:type="spellEnd"/>
      <w:r w:rsidR="00641429" w:rsidRPr="00E56B4D">
        <w:rPr>
          <w:rFonts w:ascii="Century Schoolbook" w:hAnsi="Century Schoolbook" w:cs="Times New Roman"/>
        </w:rPr>
        <w:t xml:space="preserve">, </w:t>
      </w:r>
      <w:proofErr w:type="spellStart"/>
      <w:r w:rsidR="00641429" w:rsidRPr="00E56B4D">
        <w:rPr>
          <w:rFonts w:ascii="Century Schoolbook" w:hAnsi="Century Schoolbook" w:cs="Times New Roman"/>
        </w:rPr>
        <w:t>Intellidyn</w:t>
      </w:r>
      <w:proofErr w:type="spellEnd"/>
      <w:r w:rsidR="00641429" w:rsidRPr="00E56B4D">
        <w:rPr>
          <w:rFonts w:ascii="Century Schoolbook" w:hAnsi="Century Schoolbook" w:cs="Times New Roman"/>
        </w:rPr>
        <w:t xml:space="preserve">, </w:t>
      </w:r>
      <w:proofErr w:type="spellStart"/>
      <w:r w:rsidR="00641429" w:rsidRPr="00E56B4D">
        <w:rPr>
          <w:rFonts w:ascii="Century Schoolbook" w:hAnsi="Century Schoolbook" w:cs="Times New Roman"/>
        </w:rPr>
        <w:t>BlueKai</w:t>
      </w:r>
      <w:proofErr w:type="spellEnd"/>
      <w:r w:rsidR="00641429" w:rsidRPr="00E56B4D">
        <w:rPr>
          <w:rFonts w:ascii="Century Schoolbook" w:hAnsi="Century Schoolbook" w:cs="Times New Roman"/>
        </w:rPr>
        <w:t xml:space="preserve">, and </w:t>
      </w:r>
      <w:proofErr w:type="spellStart"/>
      <w:r w:rsidR="00A46AB9" w:rsidRPr="00E56B4D">
        <w:rPr>
          <w:rFonts w:ascii="Century Schoolbook" w:hAnsi="Century Schoolbook" w:cs="Times New Roman"/>
        </w:rPr>
        <w:t>EXelate</w:t>
      </w:r>
      <w:proofErr w:type="spellEnd"/>
      <w:r w:rsidR="00641429" w:rsidRPr="00E56B4D">
        <w:rPr>
          <w:rFonts w:ascii="Century Schoolbook" w:hAnsi="Century Schoolbook" w:cs="Times New Roman"/>
        </w:rPr>
        <w:t xml:space="preserve"> have large databases containing personal information of the </w:t>
      </w:r>
      <w:r w:rsidR="00306CDC">
        <w:rPr>
          <w:rFonts w:ascii="Century Schoolbook" w:hAnsi="Century Schoolbook" w:cs="Times New Roman"/>
        </w:rPr>
        <w:t>public which can, and sometimes</w:t>
      </w:r>
      <w:r w:rsidR="00641429" w:rsidRPr="00E56B4D">
        <w:rPr>
          <w:rFonts w:ascii="Century Schoolbook" w:hAnsi="Century Schoolbook" w:cs="Times New Roman"/>
        </w:rPr>
        <w:t xml:space="preserve"> is</w:t>
      </w:r>
      <w:r w:rsidR="00306CDC">
        <w:rPr>
          <w:rFonts w:ascii="Century Schoolbook" w:hAnsi="Century Schoolbook" w:cs="Times New Roman"/>
        </w:rPr>
        <w:t>,</w:t>
      </w:r>
      <w:r w:rsidR="00641429" w:rsidRPr="00E56B4D">
        <w:rPr>
          <w:rFonts w:ascii="Century Schoolbook" w:hAnsi="Century Schoolbook" w:cs="Times New Roman"/>
        </w:rPr>
        <w:t xml:space="preserve"> being sold to marketing companies to predict consumer patterns.</w:t>
      </w:r>
      <w:r w:rsidR="00641429" w:rsidRPr="00E56B4D">
        <w:rPr>
          <w:rStyle w:val="EndnoteReference"/>
          <w:rFonts w:ascii="Century Schoolbook" w:hAnsi="Century Schoolbook" w:cs="Times New Roman"/>
        </w:rPr>
        <w:endnoteReference w:id="3"/>
      </w:r>
      <w:r w:rsidR="00641429" w:rsidRPr="00E56B4D">
        <w:rPr>
          <w:rFonts w:ascii="Century Schoolbook" w:hAnsi="Century Schoolbook" w:cs="Times New Roman"/>
        </w:rPr>
        <w:t xml:space="preserve">  </w:t>
      </w:r>
      <w:r w:rsidR="006D7436">
        <w:rPr>
          <w:rFonts w:ascii="Century Schoolbook" w:hAnsi="Century Schoolbook" w:cs="Times New Roman"/>
        </w:rPr>
        <w:t xml:space="preserve">Stein uses </w:t>
      </w:r>
      <w:r w:rsidR="00527293" w:rsidRPr="00E56B4D">
        <w:rPr>
          <w:rFonts w:ascii="Century Schoolbook" w:hAnsi="Century Schoolbook" w:cs="Times New Roman"/>
        </w:rPr>
        <w:t>an allegory of the 18</w:t>
      </w:r>
      <w:r w:rsidR="00527293" w:rsidRPr="00E56B4D">
        <w:rPr>
          <w:rFonts w:ascii="Century Schoolbook" w:hAnsi="Century Schoolbook" w:cs="Times New Roman"/>
          <w:vertAlign w:val="superscript"/>
        </w:rPr>
        <w:t>th</w:t>
      </w:r>
      <w:r w:rsidR="00527293" w:rsidRPr="00E56B4D">
        <w:rPr>
          <w:rFonts w:ascii="Century Schoolbook" w:hAnsi="Century Schoolbook" w:cs="Times New Roman"/>
        </w:rPr>
        <w:t xml:space="preserve"> century circular prison invented by Jeremy Bentham</w:t>
      </w:r>
      <w:r w:rsidR="006D7436">
        <w:rPr>
          <w:rFonts w:ascii="Century Schoolbook" w:hAnsi="Century Schoolbook" w:cs="Times New Roman"/>
        </w:rPr>
        <w:t xml:space="preserve"> to describe the paranoia and chilling effect these large corporate database</w:t>
      </w:r>
      <w:r w:rsidR="00B00001">
        <w:rPr>
          <w:rFonts w:ascii="Century Schoolbook" w:hAnsi="Century Schoolbook" w:cs="Times New Roman"/>
        </w:rPr>
        <w:t>s</w:t>
      </w:r>
      <w:r w:rsidR="006D7436">
        <w:rPr>
          <w:rFonts w:ascii="Century Schoolbook" w:hAnsi="Century Schoolbook" w:cs="Times New Roman"/>
        </w:rPr>
        <w:t xml:space="preserve"> might start having on society</w:t>
      </w:r>
      <w:r w:rsidR="00527293" w:rsidRPr="00E56B4D">
        <w:rPr>
          <w:rFonts w:ascii="Century Schoolbook" w:hAnsi="Century Schoolbook" w:cs="Times New Roman"/>
        </w:rPr>
        <w:t>.</w:t>
      </w:r>
      <w:r w:rsidR="00527293" w:rsidRPr="00E56B4D">
        <w:rPr>
          <w:rStyle w:val="EndnoteReference"/>
          <w:rFonts w:ascii="Century Schoolbook" w:hAnsi="Century Schoolbook" w:cs="Times New Roman"/>
        </w:rPr>
        <w:endnoteReference w:id="4"/>
      </w:r>
      <w:r w:rsidR="00527293" w:rsidRPr="00E56B4D">
        <w:rPr>
          <w:rFonts w:ascii="Century Schoolbook" w:hAnsi="Century Schoolbook" w:cs="Times New Roman"/>
        </w:rPr>
        <w:t xml:space="preserve">  In </w:t>
      </w:r>
      <w:r w:rsidR="00B00001">
        <w:rPr>
          <w:rFonts w:ascii="Century Schoolbook" w:hAnsi="Century Schoolbook" w:cs="Times New Roman"/>
        </w:rPr>
        <w:t>a</w:t>
      </w:r>
      <w:r w:rsidR="00527293" w:rsidRPr="00E56B4D">
        <w:rPr>
          <w:rFonts w:ascii="Century Schoolbook" w:hAnsi="Century Schoolbook" w:cs="Times New Roman"/>
        </w:rPr>
        <w:t xml:space="preserve"> circular prison, continual observation of the prisoner is not needed </w:t>
      </w:r>
      <w:r w:rsidR="00527293" w:rsidRPr="00E56B4D">
        <w:rPr>
          <w:rFonts w:ascii="Century Schoolbook" w:hAnsi="Century Schoolbook" w:cs="Times New Roman"/>
        </w:rPr>
        <w:lastRenderedPageBreak/>
        <w:t>because the prisoner looks up and can't tell if he is being observed and t</w:t>
      </w:r>
      <w:r w:rsidR="00527293">
        <w:rPr>
          <w:rFonts w:ascii="Century Schoolbook" w:hAnsi="Century Schoolbook" w:cs="Times New Roman"/>
        </w:rPr>
        <w:t xml:space="preserve">herefore always assumes he is.  Like the prisoner the modern internet user </w:t>
      </w:r>
      <w:r w:rsidR="00527293" w:rsidRPr="00E56B4D">
        <w:rPr>
          <w:rFonts w:ascii="Century Schoolbook" w:hAnsi="Century Schoolbook" w:cs="Times New Roman"/>
        </w:rPr>
        <w:t xml:space="preserve">doesn’t know when </w:t>
      </w:r>
      <w:r w:rsidR="00731F68">
        <w:rPr>
          <w:rFonts w:ascii="Century Schoolbook" w:hAnsi="Century Schoolbook" w:cs="Times New Roman"/>
        </w:rPr>
        <w:t xml:space="preserve">he </w:t>
      </w:r>
      <w:r w:rsidR="00EE6024">
        <w:rPr>
          <w:rFonts w:ascii="Century Schoolbook" w:hAnsi="Century Schoolbook" w:cs="Times New Roman"/>
        </w:rPr>
        <w:t xml:space="preserve">or she </w:t>
      </w:r>
      <w:r w:rsidR="00731F68">
        <w:rPr>
          <w:rFonts w:ascii="Century Schoolbook" w:hAnsi="Century Schoolbook" w:cs="Times New Roman"/>
        </w:rPr>
        <w:t xml:space="preserve">is being </w:t>
      </w:r>
      <w:r w:rsidR="00527293" w:rsidRPr="00E56B4D">
        <w:rPr>
          <w:rFonts w:ascii="Century Schoolbook" w:hAnsi="Century Schoolbook" w:cs="Times New Roman"/>
        </w:rPr>
        <w:t>monitored</w:t>
      </w:r>
      <w:r w:rsidR="00731F68">
        <w:rPr>
          <w:rFonts w:ascii="Century Schoolbook" w:hAnsi="Century Schoolbook" w:cs="Times New Roman"/>
        </w:rPr>
        <w:t xml:space="preserve"> and always assumes he</w:t>
      </w:r>
      <w:r w:rsidR="00527293">
        <w:rPr>
          <w:rFonts w:ascii="Century Schoolbook" w:hAnsi="Century Schoolbook" w:cs="Times New Roman"/>
        </w:rPr>
        <w:t xml:space="preserve"> </w:t>
      </w:r>
      <w:r w:rsidR="00EE6024">
        <w:rPr>
          <w:rFonts w:ascii="Century Schoolbook" w:hAnsi="Century Schoolbook" w:cs="Times New Roman"/>
        </w:rPr>
        <w:t xml:space="preserve">or she </w:t>
      </w:r>
      <w:r w:rsidR="00527293">
        <w:rPr>
          <w:rFonts w:ascii="Century Schoolbook" w:hAnsi="Century Schoolbook" w:cs="Times New Roman"/>
        </w:rPr>
        <w:t>is</w:t>
      </w:r>
      <w:r w:rsidR="00527293" w:rsidRPr="00E56B4D">
        <w:rPr>
          <w:rFonts w:ascii="Century Schoolbook" w:hAnsi="Century Schoolbook" w:cs="Times New Roman"/>
        </w:rPr>
        <w:t xml:space="preserve">.  </w:t>
      </w:r>
      <w:r w:rsidR="00B00001">
        <w:rPr>
          <w:rFonts w:ascii="Century Schoolbook" w:hAnsi="Century Schoolbook" w:cs="Times New Roman"/>
        </w:rPr>
        <w:t>As these corporate databases are leveraged more and more to predict our patterns, society may curb its own patterns of behavior to either limit or utilize these predictive analysis.</w:t>
      </w:r>
    </w:p>
    <w:p w:rsidR="00641429" w:rsidRPr="00B00001" w:rsidRDefault="001E759D"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t>Aside from the privacy and transparency concerns, databases and analytics are finding positive uses, and t</w:t>
      </w:r>
      <w:r w:rsidR="00B00001">
        <w:rPr>
          <w:rFonts w:ascii="Century Schoolbook" w:hAnsi="Century Schoolbook" w:cs="Times New Roman"/>
        </w:rPr>
        <w:t xml:space="preserve">here have been </w:t>
      </w:r>
      <w:r w:rsidR="00070E9C" w:rsidRPr="00E56B4D">
        <w:rPr>
          <w:rFonts w:ascii="Century Schoolbook" w:hAnsi="Century Schoolbook" w:cs="Times New Roman"/>
        </w:rPr>
        <w:t xml:space="preserve">some commentators </w:t>
      </w:r>
      <w:r w:rsidR="00B00001">
        <w:rPr>
          <w:rFonts w:ascii="Century Schoolbook" w:hAnsi="Century Schoolbook" w:cs="Times New Roman"/>
        </w:rPr>
        <w:t xml:space="preserve">that </w:t>
      </w:r>
      <w:r w:rsidR="00070E9C" w:rsidRPr="00E56B4D">
        <w:rPr>
          <w:rFonts w:ascii="Century Schoolbook" w:hAnsi="Century Schoolbook" w:cs="Times New Roman"/>
        </w:rPr>
        <w:t>have explored the</w:t>
      </w:r>
      <w:r w:rsidR="00E464C6" w:rsidRPr="00E56B4D">
        <w:rPr>
          <w:rFonts w:ascii="Century Schoolbook" w:hAnsi="Century Schoolbook" w:cs="Times New Roman"/>
        </w:rPr>
        <w:t xml:space="preserve"> influence </w:t>
      </w:r>
      <w:r w:rsidR="00070E9C" w:rsidRPr="00E56B4D">
        <w:rPr>
          <w:rFonts w:ascii="Century Schoolbook" w:hAnsi="Century Schoolbook" w:cs="Times New Roman"/>
        </w:rPr>
        <w:t xml:space="preserve">of the coming era of </w:t>
      </w:r>
      <w:r w:rsidR="000974FF" w:rsidRPr="00E56B4D">
        <w:rPr>
          <w:rFonts w:ascii="Century Schoolbook" w:hAnsi="Century Schoolbook" w:cs="Times New Roman"/>
        </w:rPr>
        <w:t>mega-</w:t>
      </w:r>
      <w:r w:rsidR="00070E9C" w:rsidRPr="00E56B4D">
        <w:rPr>
          <w:rFonts w:ascii="Century Schoolbook" w:hAnsi="Century Schoolbook" w:cs="Times New Roman"/>
        </w:rPr>
        <w:t xml:space="preserve">databases and data-mining </w:t>
      </w:r>
      <w:r w:rsidR="00B3369D">
        <w:rPr>
          <w:rFonts w:ascii="Century Schoolbook" w:hAnsi="Century Schoolbook" w:cs="Times New Roman"/>
        </w:rPr>
        <w:t xml:space="preserve">on </w:t>
      </w:r>
      <w:r>
        <w:rPr>
          <w:rFonts w:ascii="Century Schoolbook" w:hAnsi="Century Schoolbook" w:cs="Times New Roman"/>
        </w:rPr>
        <w:t xml:space="preserve">both </w:t>
      </w:r>
      <w:r w:rsidR="00B3369D">
        <w:rPr>
          <w:rFonts w:ascii="Century Schoolbook" w:hAnsi="Century Schoolbook" w:cs="Times New Roman"/>
        </w:rPr>
        <w:t>governmental and judicial databases</w:t>
      </w:r>
      <w:r w:rsidR="00641429" w:rsidRPr="00E56B4D">
        <w:rPr>
          <w:rFonts w:ascii="Century Schoolbook" w:hAnsi="Century Schoolbook" w:cs="Times New Roman"/>
        </w:rPr>
        <w:t xml:space="preserve">.  Edward K. Cheng, </w:t>
      </w:r>
      <w:r>
        <w:rPr>
          <w:rFonts w:ascii="Century Schoolbook" w:hAnsi="Century Schoolbook" w:cs="Times New Roman"/>
        </w:rPr>
        <w:t>reviewin</w:t>
      </w:r>
      <w:r w:rsidR="00A15B49">
        <w:rPr>
          <w:rFonts w:ascii="Century Schoolbook" w:hAnsi="Century Schoolbook" w:cs="Times New Roman"/>
        </w:rPr>
        <w:t>g</w:t>
      </w:r>
      <w:r>
        <w:rPr>
          <w:rFonts w:ascii="Century Schoolbook" w:hAnsi="Century Schoolbook" w:cs="Times New Roman"/>
        </w:rPr>
        <w:t xml:space="preserve"> </w:t>
      </w:r>
      <w:r w:rsidR="00641429" w:rsidRPr="00E56B4D">
        <w:rPr>
          <w:rFonts w:ascii="Century Schoolbook" w:hAnsi="Century Schoolbook" w:cs="Times New Roman"/>
        </w:rPr>
        <w:t xml:space="preserve">Ian Ayres’ Super Crunchers, </w:t>
      </w:r>
      <w:r w:rsidR="0098638E" w:rsidRPr="00E56B4D">
        <w:rPr>
          <w:rFonts w:ascii="Century Schoolbook" w:hAnsi="Century Schoolbook" w:cs="Times New Roman"/>
        </w:rPr>
        <w:t>discusses</w:t>
      </w:r>
      <w:r w:rsidR="000974FF" w:rsidRPr="00E56B4D">
        <w:rPr>
          <w:rFonts w:ascii="Century Schoolbook" w:hAnsi="Century Schoolbook" w:cs="Times New Roman"/>
        </w:rPr>
        <w:t xml:space="preserve"> the prevalence of statistical </w:t>
      </w:r>
      <w:r w:rsidR="0098638E" w:rsidRPr="00E56B4D">
        <w:rPr>
          <w:rFonts w:ascii="Century Schoolbook" w:hAnsi="Century Schoolbook" w:cs="Times New Roman"/>
        </w:rPr>
        <w:t xml:space="preserve">analyses of </w:t>
      </w:r>
      <w:r w:rsidR="00731F68">
        <w:rPr>
          <w:rFonts w:ascii="Century Schoolbook" w:hAnsi="Century Schoolbook" w:cs="Times New Roman"/>
        </w:rPr>
        <w:t xml:space="preserve">large </w:t>
      </w:r>
      <w:r w:rsidR="0098638E" w:rsidRPr="00E56B4D">
        <w:rPr>
          <w:rFonts w:ascii="Century Schoolbook" w:hAnsi="Century Schoolbook" w:cs="Times New Roman"/>
        </w:rPr>
        <w:t xml:space="preserve">databases </w:t>
      </w:r>
      <w:r w:rsidR="00641429" w:rsidRPr="00E56B4D">
        <w:rPr>
          <w:rFonts w:ascii="Century Schoolbook" w:hAnsi="Century Schoolbook" w:cs="Times New Roman"/>
        </w:rPr>
        <w:t xml:space="preserve">and how </w:t>
      </w:r>
      <w:r w:rsidR="00A15B49">
        <w:rPr>
          <w:rFonts w:ascii="Century Schoolbook" w:hAnsi="Century Schoolbook" w:cs="Times New Roman"/>
        </w:rPr>
        <w:t xml:space="preserve">successful </w:t>
      </w:r>
      <w:r w:rsidR="00910D05">
        <w:rPr>
          <w:rFonts w:ascii="Century Schoolbook" w:hAnsi="Century Schoolbook" w:cs="Times New Roman"/>
        </w:rPr>
        <w:t>techniques in the private sphere will lead to techniques utilized in the legal sphere</w:t>
      </w:r>
      <w:r w:rsidR="00641429" w:rsidRPr="00E56B4D">
        <w:rPr>
          <w:rFonts w:ascii="Century Schoolbook" w:hAnsi="Century Schoolbook" w:cs="Times New Roman"/>
        </w:rPr>
        <w:t>.</w:t>
      </w:r>
      <w:r w:rsidR="005A44FD" w:rsidRPr="00E56B4D">
        <w:rPr>
          <w:rStyle w:val="EndnoteReference"/>
          <w:rFonts w:ascii="Century Schoolbook" w:hAnsi="Century Schoolbook" w:cs="Times New Roman"/>
        </w:rPr>
        <w:endnoteReference w:id="5"/>
      </w:r>
      <w:r w:rsidR="00E464C6" w:rsidRPr="00E56B4D">
        <w:rPr>
          <w:rFonts w:ascii="Century Schoolbook" w:hAnsi="Century Schoolbook" w:cs="Times New Roman"/>
        </w:rPr>
        <w:t xml:space="preserve">  </w:t>
      </w:r>
      <w:r w:rsidR="00A15B49">
        <w:rPr>
          <w:rFonts w:ascii="Century Schoolbook" w:hAnsi="Century Schoolbook" w:cs="Times New Roman"/>
        </w:rPr>
        <w:t>He notes successful uses in the private industry including f</w:t>
      </w:r>
      <w:r w:rsidR="00A15B49" w:rsidRPr="00E56B4D">
        <w:rPr>
          <w:rFonts w:ascii="Century Schoolbook" w:hAnsi="Century Schoolbook" w:cs="Times New Roman"/>
        </w:rPr>
        <w:t xml:space="preserve">ilm companies </w:t>
      </w:r>
      <w:r w:rsidR="00A15B49">
        <w:rPr>
          <w:rFonts w:ascii="Century Schoolbook" w:hAnsi="Century Schoolbook" w:cs="Times New Roman"/>
        </w:rPr>
        <w:t xml:space="preserve">that predict </w:t>
      </w:r>
      <w:r w:rsidR="00A15B49" w:rsidRPr="00E56B4D">
        <w:rPr>
          <w:rFonts w:ascii="Century Schoolbook" w:hAnsi="Century Schoolbook" w:cs="Times New Roman"/>
        </w:rPr>
        <w:t xml:space="preserve">blockbusters, </w:t>
      </w:r>
      <w:r w:rsidR="00A15B49">
        <w:rPr>
          <w:rFonts w:ascii="Century Schoolbook" w:hAnsi="Century Schoolbook" w:cs="Times New Roman"/>
        </w:rPr>
        <w:t xml:space="preserve">the </w:t>
      </w:r>
      <w:r w:rsidR="00A15B49" w:rsidRPr="00E56B4D">
        <w:rPr>
          <w:rFonts w:ascii="Century Schoolbook" w:hAnsi="Century Schoolbook" w:cs="Times New Roman"/>
        </w:rPr>
        <w:t xml:space="preserve">matchmaking </w:t>
      </w:r>
      <w:r w:rsidR="00A15B49">
        <w:rPr>
          <w:rFonts w:ascii="Century Schoolbook" w:hAnsi="Century Schoolbook" w:cs="Times New Roman"/>
        </w:rPr>
        <w:t>of couples</w:t>
      </w:r>
      <w:r w:rsidR="00A15B49" w:rsidRPr="00E56B4D">
        <w:rPr>
          <w:rFonts w:ascii="Century Schoolbook" w:hAnsi="Century Schoolbook" w:cs="Times New Roman"/>
        </w:rPr>
        <w:t xml:space="preserve">, </w:t>
      </w:r>
      <w:r w:rsidR="00A15B49">
        <w:rPr>
          <w:rFonts w:ascii="Century Schoolbook" w:hAnsi="Century Schoolbook" w:cs="Times New Roman"/>
        </w:rPr>
        <w:t xml:space="preserve">and </w:t>
      </w:r>
      <w:r w:rsidR="00A15B49" w:rsidRPr="00E56B4D">
        <w:rPr>
          <w:rFonts w:ascii="Century Schoolbook" w:hAnsi="Century Schoolbook" w:cs="Times New Roman"/>
        </w:rPr>
        <w:t xml:space="preserve">companies </w:t>
      </w:r>
      <w:r w:rsidR="00A15B49">
        <w:rPr>
          <w:rFonts w:ascii="Century Schoolbook" w:hAnsi="Century Schoolbook" w:cs="Times New Roman"/>
        </w:rPr>
        <w:t xml:space="preserve">that </w:t>
      </w:r>
      <w:r w:rsidR="00A15B49" w:rsidRPr="00E56B4D">
        <w:rPr>
          <w:rFonts w:ascii="Century Schoolbook" w:hAnsi="Century Schoolbook" w:cs="Times New Roman"/>
        </w:rPr>
        <w:t>offer palliatives to keep their statistically best customers placated</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6"/>
      </w:r>
      <w:r w:rsidR="00641429" w:rsidRPr="00E56B4D">
        <w:rPr>
          <w:rFonts w:ascii="Century Schoolbook" w:hAnsi="Century Schoolbook" w:cs="Times New Roman"/>
        </w:rPr>
        <w:t xml:space="preserve">  Cheng </w:t>
      </w:r>
      <w:r w:rsidR="00EE6024">
        <w:rPr>
          <w:rFonts w:ascii="Century Schoolbook" w:hAnsi="Century Schoolbook" w:cs="Times New Roman"/>
        </w:rPr>
        <w:t xml:space="preserve">also </w:t>
      </w:r>
      <w:r w:rsidR="00731F68">
        <w:rPr>
          <w:rFonts w:ascii="Century Schoolbook" w:hAnsi="Century Schoolbook" w:cs="Times New Roman"/>
        </w:rPr>
        <w:t xml:space="preserve">describes </w:t>
      </w:r>
      <w:r w:rsidR="00EE6024">
        <w:rPr>
          <w:rFonts w:ascii="Century Schoolbook" w:hAnsi="Century Schoolbook" w:cs="Times New Roman"/>
        </w:rPr>
        <w:t xml:space="preserve">some </w:t>
      </w:r>
      <w:r w:rsidR="00731F68">
        <w:rPr>
          <w:rFonts w:ascii="Century Schoolbook" w:hAnsi="Century Schoolbook" w:cs="Times New Roman"/>
        </w:rPr>
        <w:t>uses in the public sphere</w:t>
      </w:r>
      <w:r w:rsidR="00EE6024">
        <w:rPr>
          <w:rFonts w:ascii="Century Schoolbook" w:hAnsi="Century Schoolbook" w:cs="Times New Roman"/>
        </w:rPr>
        <w:t xml:space="preserve"> and, more specifically, the legal database sphere</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7"/>
      </w:r>
      <w:r w:rsidR="00641429" w:rsidRPr="00E56B4D">
        <w:rPr>
          <w:rFonts w:ascii="Century Schoolbook" w:hAnsi="Century Schoolbook" w:cs="Times New Roman"/>
        </w:rPr>
        <w:t xml:space="preserve">  </w:t>
      </w:r>
      <w:r w:rsidR="00527293">
        <w:rPr>
          <w:rFonts w:ascii="Century Schoolbook" w:hAnsi="Century Schoolbook" w:cs="Times New Roman"/>
        </w:rPr>
        <w:t xml:space="preserve">For example, </w:t>
      </w:r>
      <w:r w:rsidR="00641429" w:rsidRPr="00E56B4D">
        <w:rPr>
          <w:rFonts w:ascii="Century Schoolbook" w:hAnsi="Century Schoolbook" w:cs="Times New Roman"/>
        </w:rPr>
        <w:t xml:space="preserve">Super Crunchers gives the example of the Supreme Court </w:t>
      </w:r>
      <w:r w:rsidR="00A5504E">
        <w:rPr>
          <w:rFonts w:ascii="Century Schoolbook" w:hAnsi="Century Schoolbook" w:cs="Times New Roman"/>
        </w:rPr>
        <w:t>Forecasting Project which ran an</w:t>
      </w:r>
      <w:r w:rsidR="00641429" w:rsidRPr="00E56B4D">
        <w:rPr>
          <w:rFonts w:ascii="Century Schoolbook" w:hAnsi="Century Schoolbook" w:cs="Times New Roman"/>
        </w:rPr>
        <w:t xml:space="preserve"> analysis on the </w:t>
      </w:r>
      <w:r w:rsidR="00A5504E">
        <w:rPr>
          <w:rFonts w:ascii="Century Schoolbook" w:hAnsi="Century Schoolbook" w:cs="Times New Roman"/>
        </w:rPr>
        <w:t>Supreme Court</w:t>
      </w:r>
      <w:r w:rsidR="00641429" w:rsidRPr="00E56B4D">
        <w:rPr>
          <w:rFonts w:ascii="Century Schoolbook" w:hAnsi="Century Schoolbook" w:cs="Times New Roman"/>
        </w:rPr>
        <w:t>.</w:t>
      </w:r>
      <w:r w:rsidR="00A5504E">
        <w:rPr>
          <w:rStyle w:val="EndnoteReference"/>
          <w:rFonts w:ascii="Century Schoolbook" w:hAnsi="Century Schoolbook" w:cs="Times New Roman"/>
        </w:rPr>
        <w:endnoteReference w:id="8"/>
      </w:r>
      <w:r w:rsidR="00641429" w:rsidRPr="00E56B4D">
        <w:rPr>
          <w:rFonts w:ascii="Century Schoolbook" w:hAnsi="Century Schoolbook" w:cs="Times New Roman"/>
        </w:rPr>
        <w:t xml:space="preserve">  </w:t>
      </w:r>
      <w:r w:rsidR="00A5504E">
        <w:rPr>
          <w:rFonts w:ascii="Century Schoolbook" w:hAnsi="Century Schoolbook" w:cs="Times New Roman"/>
        </w:rPr>
        <w:t xml:space="preserve">The project used the </w:t>
      </w:r>
      <w:r w:rsidR="00A5504E" w:rsidRPr="00E56B4D">
        <w:rPr>
          <w:rFonts w:ascii="Century Schoolbook" w:hAnsi="Century Schoolbook" w:cs="Times New Roman"/>
        </w:rPr>
        <w:t>National Science Foundation’s Supreme Court Database</w:t>
      </w:r>
      <w:r w:rsidR="00A5504E">
        <w:rPr>
          <w:rFonts w:ascii="Century Schoolbook" w:hAnsi="Century Schoolbook" w:cs="Times New Roman"/>
        </w:rPr>
        <w:t>.</w:t>
      </w:r>
      <w:r w:rsidR="00A5504E">
        <w:rPr>
          <w:rStyle w:val="EndnoteReference"/>
          <w:rFonts w:ascii="Century Schoolbook" w:hAnsi="Century Schoolbook" w:cs="Times New Roman"/>
        </w:rPr>
        <w:endnoteReference w:id="9"/>
      </w:r>
      <w:r w:rsidR="00A5504E">
        <w:rPr>
          <w:rFonts w:ascii="Century Schoolbook" w:hAnsi="Century Schoolbook" w:cs="Times New Roman"/>
        </w:rPr>
        <w:t xml:space="preserve"> </w:t>
      </w:r>
      <w:r w:rsidR="00A5504E" w:rsidRPr="00E56B4D">
        <w:rPr>
          <w:rFonts w:ascii="Century Schoolbook" w:hAnsi="Century Schoolbook" w:cs="Times New Roman"/>
        </w:rPr>
        <w:t xml:space="preserve"> </w:t>
      </w:r>
      <w:r w:rsidR="00641429" w:rsidRPr="00E56B4D">
        <w:rPr>
          <w:rFonts w:ascii="Century Schoolbook" w:hAnsi="Century Schoolbook" w:cs="Times New Roman"/>
        </w:rPr>
        <w:t>The purpose of the project was to compare the ability of statistical analyses</w:t>
      </w:r>
      <w:r w:rsidR="001F42C5">
        <w:rPr>
          <w:rFonts w:ascii="Century Schoolbook" w:hAnsi="Century Schoolbook" w:cs="Times New Roman"/>
        </w:rPr>
        <w:t xml:space="preserve"> of machines</w:t>
      </w:r>
      <w:r w:rsidR="00641429" w:rsidRPr="00E56B4D">
        <w:rPr>
          <w:rFonts w:ascii="Century Schoolbook" w:hAnsi="Century Schoolbook" w:cs="Times New Roman"/>
        </w:rPr>
        <w:t xml:space="preserve"> with the ability of well established human legal experts</w:t>
      </w:r>
      <w:r w:rsidR="001F42C5">
        <w:rPr>
          <w:rFonts w:ascii="Century Schoolbook" w:hAnsi="Century Schoolbook" w:cs="Times New Roman"/>
        </w:rPr>
        <w:t xml:space="preserve"> </w:t>
      </w:r>
      <w:r w:rsidR="001F42C5" w:rsidRPr="00E56B4D">
        <w:rPr>
          <w:rFonts w:ascii="Century Schoolbook" w:hAnsi="Century Schoolbook" w:cs="Times New Roman"/>
        </w:rPr>
        <w:t>to predict the outcome of cases</w:t>
      </w:r>
      <w:r w:rsidR="00641429" w:rsidRPr="00E56B4D">
        <w:rPr>
          <w:rFonts w:ascii="Century Schoolbook" w:hAnsi="Century Schoolbook" w:cs="Times New Roman"/>
        </w:rPr>
        <w:t xml:space="preserve">.  The statistical model had 75% </w:t>
      </w:r>
      <w:r w:rsidR="00527293">
        <w:rPr>
          <w:rFonts w:ascii="Century Schoolbook" w:hAnsi="Century Schoolbook" w:cs="Times New Roman"/>
        </w:rPr>
        <w:t xml:space="preserve">predictive </w:t>
      </w:r>
      <w:r w:rsidR="00641429" w:rsidRPr="00E56B4D">
        <w:rPr>
          <w:rFonts w:ascii="Century Schoolbook" w:hAnsi="Century Schoolbook" w:cs="Times New Roman"/>
        </w:rPr>
        <w:t xml:space="preserve">accuracy where </w:t>
      </w:r>
      <w:r w:rsidR="00A15B49">
        <w:rPr>
          <w:rFonts w:ascii="Century Schoolbook" w:hAnsi="Century Schoolbook" w:cs="Times New Roman"/>
        </w:rPr>
        <w:t xml:space="preserve">human </w:t>
      </w:r>
      <w:r w:rsidR="00641429" w:rsidRPr="00E56B4D">
        <w:rPr>
          <w:rFonts w:ascii="Century Schoolbook" w:hAnsi="Century Schoolbook" w:cs="Times New Roman"/>
        </w:rPr>
        <w:t xml:space="preserve">legal experts only had </w:t>
      </w:r>
      <w:r w:rsidR="00641429" w:rsidRPr="00E56B4D">
        <w:rPr>
          <w:rFonts w:ascii="Century Schoolbook" w:hAnsi="Century Schoolbook" w:cs="Times New Roman"/>
        </w:rPr>
        <w:lastRenderedPageBreak/>
        <w:t>59.1%.</w:t>
      </w:r>
      <w:r w:rsidR="00641429" w:rsidRPr="00E56B4D">
        <w:rPr>
          <w:rStyle w:val="EndnoteReference"/>
          <w:rFonts w:ascii="Century Schoolbook" w:hAnsi="Century Schoolbook" w:cs="Times New Roman"/>
        </w:rPr>
        <w:endnoteReference w:id="10"/>
      </w:r>
      <w:r w:rsidR="00641429" w:rsidRPr="00E56B4D">
        <w:rPr>
          <w:rFonts w:ascii="Century Schoolbook" w:hAnsi="Century Schoolbook" w:cs="Times New Roman"/>
        </w:rPr>
        <w:t xml:space="preserve">  The project showed </w:t>
      </w:r>
      <w:r w:rsidR="000974FF" w:rsidRPr="00E56B4D">
        <w:rPr>
          <w:rFonts w:ascii="Century Schoolbook" w:hAnsi="Century Schoolbook" w:cs="Times New Roman"/>
        </w:rPr>
        <w:t>t</w:t>
      </w:r>
      <w:r w:rsidR="00641429" w:rsidRPr="00E56B4D">
        <w:rPr>
          <w:rFonts w:ascii="Century Schoolbook" w:hAnsi="Century Schoolbook" w:cs="Times New Roman"/>
        </w:rPr>
        <w:t xml:space="preserve">he potential predictability powers of data and statistical analysis in </w:t>
      </w:r>
      <w:r w:rsidR="00A15B49">
        <w:rPr>
          <w:rFonts w:ascii="Century Schoolbook" w:hAnsi="Century Schoolbook" w:cs="Times New Roman"/>
        </w:rPr>
        <w:t xml:space="preserve">both </w:t>
      </w:r>
      <w:r w:rsidR="00641429" w:rsidRPr="00E56B4D">
        <w:rPr>
          <w:rFonts w:ascii="Century Schoolbook" w:hAnsi="Century Schoolbook" w:cs="Times New Roman"/>
        </w:rPr>
        <w:t xml:space="preserve">the </w:t>
      </w:r>
      <w:r w:rsidR="00A15B49">
        <w:rPr>
          <w:rFonts w:ascii="Century Schoolbook" w:hAnsi="Century Schoolbook" w:cs="Times New Roman"/>
        </w:rPr>
        <w:t xml:space="preserve">governmental and </w:t>
      </w:r>
      <w:r w:rsidR="00641429" w:rsidRPr="00E56B4D">
        <w:rPr>
          <w:rFonts w:ascii="Century Schoolbook" w:hAnsi="Century Schoolbook" w:cs="Times New Roman"/>
        </w:rPr>
        <w:t xml:space="preserve">legal realm.  Cheng recommends that courts should be using more </w:t>
      </w:r>
      <w:r w:rsidR="00E07416">
        <w:rPr>
          <w:rFonts w:ascii="Century Schoolbook" w:hAnsi="Century Schoolbook" w:cs="Times New Roman"/>
        </w:rPr>
        <w:t>database analytics</w:t>
      </w:r>
      <w:r w:rsidR="00641429" w:rsidRPr="00E56B4D">
        <w:rPr>
          <w:rFonts w:ascii="Century Schoolbook" w:hAnsi="Century Schoolbook" w:cs="Times New Roman"/>
        </w:rPr>
        <w:t>, not only because they promise greater accuracy, but also because they provide the con</w:t>
      </w:r>
      <w:r w:rsidR="00641429" w:rsidRPr="00B00001">
        <w:rPr>
          <w:rFonts w:ascii="Century Schoolbook" w:hAnsi="Century Schoolbook" w:cs="Times New Roman"/>
        </w:rPr>
        <w:t>sistency and transparency to which the law often aspires.</w:t>
      </w:r>
      <w:r w:rsidR="00641429" w:rsidRPr="00B00001">
        <w:rPr>
          <w:rStyle w:val="EndnoteReference"/>
          <w:rFonts w:ascii="Century Schoolbook" w:hAnsi="Century Schoolbook" w:cs="Times New Roman"/>
        </w:rPr>
        <w:endnoteReference w:id="11"/>
      </w:r>
      <w:r w:rsidR="0098638E" w:rsidRPr="00B00001">
        <w:rPr>
          <w:rFonts w:ascii="Century Schoolbook" w:hAnsi="Century Schoolbook" w:cs="Times New Roman"/>
        </w:rPr>
        <w:t xml:space="preserve">  </w:t>
      </w:r>
      <w:r w:rsidR="00641429" w:rsidRPr="00B00001">
        <w:rPr>
          <w:rFonts w:ascii="Century Schoolbook" w:hAnsi="Century Schoolbook" w:cs="Times New Roman"/>
        </w:rPr>
        <w:t xml:space="preserve"> </w:t>
      </w:r>
    </w:p>
    <w:p w:rsidR="00F8567B" w:rsidRDefault="00A15B49"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t xml:space="preserve">Cheng has a point.  </w:t>
      </w:r>
      <w:r w:rsidR="00807994">
        <w:rPr>
          <w:rFonts w:ascii="Century Schoolbook" w:hAnsi="Century Schoolbook" w:cs="Times New Roman"/>
        </w:rPr>
        <w:t xml:space="preserve">Transparency and consistency are valued policies </w:t>
      </w:r>
      <w:r>
        <w:rPr>
          <w:rFonts w:ascii="Century Schoolbook" w:hAnsi="Century Schoolbook" w:cs="Times New Roman"/>
        </w:rPr>
        <w:t>in our</w:t>
      </w:r>
      <w:r w:rsidR="00807994">
        <w:rPr>
          <w:rFonts w:ascii="Century Schoolbook" w:hAnsi="Century Schoolbook" w:cs="Times New Roman"/>
        </w:rPr>
        <w:t xml:space="preserve"> judicial system.  </w:t>
      </w:r>
      <w:r w:rsidR="008F4BF6">
        <w:rPr>
          <w:rFonts w:ascii="Century Schoolbook" w:hAnsi="Century Schoolbook" w:cs="Times New Roman"/>
        </w:rPr>
        <w:t xml:space="preserve">Transparency values are </w:t>
      </w:r>
      <w:r w:rsidR="00807994">
        <w:rPr>
          <w:rFonts w:ascii="Century Schoolbook" w:hAnsi="Century Schoolbook" w:cs="Times New Roman"/>
        </w:rPr>
        <w:t>echoed in t</w:t>
      </w:r>
      <w:r w:rsidR="00641429" w:rsidRPr="00E56B4D">
        <w:rPr>
          <w:rFonts w:ascii="Century Schoolbook" w:hAnsi="Century Schoolbook" w:cs="Times New Roman"/>
        </w:rPr>
        <w:t>he 6</w:t>
      </w:r>
      <w:r w:rsidR="00641429" w:rsidRPr="00E56B4D">
        <w:rPr>
          <w:rFonts w:ascii="Century Schoolbook" w:hAnsi="Century Schoolbook" w:cs="Times New Roman"/>
          <w:vertAlign w:val="superscript"/>
        </w:rPr>
        <w:t>th</w:t>
      </w:r>
      <w:r w:rsidR="00641429" w:rsidRPr="00E56B4D">
        <w:rPr>
          <w:rFonts w:ascii="Century Schoolbook" w:hAnsi="Century Schoolbook" w:cs="Times New Roman"/>
        </w:rPr>
        <w:t xml:space="preserve"> amendment of the Constitution </w:t>
      </w:r>
      <w:r w:rsidR="00807994">
        <w:rPr>
          <w:rFonts w:ascii="Century Schoolbook" w:hAnsi="Century Schoolbook" w:cs="Times New Roman"/>
        </w:rPr>
        <w:t xml:space="preserve">which </w:t>
      </w:r>
      <w:r w:rsidR="0098638E" w:rsidRPr="00E56B4D">
        <w:rPr>
          <w:rFonts w:ascii="Century Schoolbook" w:hAnsi="Century Schoolbook" w:cs="Times New Roman"/>
        </w:rPr>
        <w:t>grants the right of the accused a public and speedy trial, which defines the right to keeping the trial open to the public eye.</w:t>
      </w:r>
      <w:r w:rsidR="00ED00F8" w:rsidRPr="00E56B4D">
        <w:rPr>
          <w:rStyle w:val="EndnoteReference"/>
          <w:rFonts w:ascii="Century Schoolbook" w:hAnsi="Century Schoolbook" w:cs="Times New Roman"/>
        </w:rPr>
        <w:endnoteReference w:id="12"/>
      </w:r>
      <w:r w:rsidR="0098638E" w:rsidRPr="00E56B4D">
        <w:rPr>
          <w:rFonts w:ascii="Century Schoolbook" w:hAnsi="Century Schoolbook" w:cs="Times New Roman"/>
        </w:rPr>
        <w:t xml:space="preserve">  The founders wanted to keep trials open to the public because open trials are fairer.  </w:t>
      </w:r>
      <w:r w:rsidR="00641429" w:rsidRPr="00E56B4D">
        <w:rPr>
          <w:rFonts w:ascii="Century Schoolbook" w:hAnsi="Century Schoolbook" w:cs="Times New Roman"/>
        </w:rPr>
        <w:t xml:space="preserve">Justice Hugo Black </w:t>
      </w:r>
      <w:r w:rsidR="00807994">
        <w:rPr>
          <w:rFonts w:ascii="Century Schoolbook" w:hAnsi="Century Schoolbook" w:cs="Times New Roman"/>
        </w:rPr>
        <w:t xml:space="preserve">said </w:t>
      </w:r>
      <w:r w:rsidR="00641429" w:rsidRPr="00E56B4D">
        <w:rPr>
          <w:rFonts w:ascii="Century Schoolbook" w:hAnsi="Century Schoolbook" w:cs="Times New Roman"/>
        </w:rPr>
        <w:t>that open judicial proceedings are “a safeguard against any attempt to employ our courts as instruments of persecution.  The knowledge that every criminal trial is subject to contemporaneous review in the forum of public opinion is an effective restraint on possible abuse of judicial power.”</w:t>
      </w:r>
      <w:r w:rsidR="00641429" w:rsidRPr="00E56B4D">
        <w:rPr>
          <w:rStyle w:val="EndnoteReference"/>
          <w:rFonts w:ascii="Century Schoolbook" w:hAnsi="Century Schoolbook" w:cs="Times New Roman"/>
        </w:rPr>
        <w:endnoteReference w:id="13"/>
      </w:r>
      <w:r w:rsidR="00807994">
        <w:rPr>
          <w:rFonts w:ascii="Century Schoolbook" w:hAnsi="Century Schoolbook" w:cs="Times New Roman"/>
        </w:rPr>
        <w:t xml:space="preserve">  </w:t>
      </w:r>
      <w:r w:rsidR="00E07416">
        <w:rPr>
          <w:rFonts w:ascii="Century Schoolbook" w:hAnsi="Century Schoolbook" w:cs="Times New Roman"/>
        </w:rPr>
        <w:t>T</w:t>
      </w:r>
      <w:r w:rsidR="00EA3409" w:rsidRPr="00E56B4D">
        <w:rPr>
          <w:rFonts w:ascii="Century Schoolbook" w:hAnsi="Century Schoolbook" w:cs="Times New Roman"/>
        </w:rPr>
        <w:t xml:space="preserve">he use of statistics and database mining can </w:t>
      </w:r>
      <w:r w:rsidR="000E4ED9" w:rsidRPr="00E56B4D">
        <w:rPr>
          <w:rFonts w:ascii="Century Schoolbook" w:hAnsi="Century Schoolbook" w:cs="Times New Roman"/>
        </w:rPr>
        <w:t xml:space="preserve">uncover hidden knowledge </w:t>
      </w:r>
      <w:r w:rsidR="00EA3409" w:rsidRPr="00E56B4D">
        <w:rPr>
          <w:rFonts w:ascii="Century Schoolbook" w:hAnsi="Century Schoolbook" w:cs="Times New Roman"/>
        </w:rPr>
        <w:t xml:space="preserve">by pointing out information that was obscured from </w:t>
      </w:r>
      <w:r w:rsidR="0098638E" w:rsidRPr="00E56B4D">
        <w:rPr>
          <w:rFonts w:ascii="Century Schoolbook" w:hAnsi="Century Schoolbook" w:cs="Times New Roman"/>
        </w:rPr>
        <w:t xml:space="preserve">normal </w:t>
      </w:r>
      <w:r w:rsidR="00EA3409" w:rsidRPr="00E56B4D">
        <w:rPr>
          <w:rFonts w:ascii="Century Schoolbook" w:hAnsi="Century Schoolbook" w:cs="Times New Roman"/>
        </w:rPr>
        <w:t xml:space="preserve">view.  Statistics </w:t>
      </w:r>
      <w:r w:rsidR="008F4BF6">
        <w:rPr>
          <w:rFonts w:ascii="Century Schoolbook" w:hAnsi="Century Schoolbook" w:cs="Times New Roman"/>
        </w:rPr>
        <w:t xml:space="preserve">and data mining </w:t>
      </w:r>
      <w:r w:rsidR="00EA3409" w:rsidRPr="00E56B4D">
        <w:rPr>
          <w:rFonts w:ascii="Century Schoolbook" w:hAnsi="Century Schoolbook" w:cs="Times New Roman"/>
        </w:rPr>
        <w:t xml:space="preserve">can </w:t>
      </w:r>
      <w:r w:rsidR="00EE6024">
        <w:rPr>
          <w:rFonts w:ascii="Century Schoolbook" w:hAnsi="Century Schoolbook" w:cs="Times New Roman"/>
        </w:rPr>
        <w:t xml:space="preserve">also </w:t>
      </w:r>
      <w:r w:rsidR="00EA3409" w:rsidRPr="00E56B4D">
        <w:rPr>
          <w:rFonts w:ascii="Century Schoolbook" w:hAnsi="Century Schoolbook" w:cs="Times New Roman"/>
        </w:rPr>
        <w:t xml:space="preserve">take a lot of information and put it in a form that is easily digestible to the human mind.  </w:t>
      </w:r>
      <w:r w:rsidR="008F4BF6">
        <w:rPr>
          <w:rFonts w:ascii="Century Schoolbook" w:hAnsi="Century Schoolbook" w:cs="Times New Roman"/>
        </w:rPr>
        <w:t xml:space="preserve">Statistics and data mining </w:t>
      </w:r>
      <w:r w:rsidR="00E07416">
        <w:rPr>
          <w:rFonts w:ascii="Century Schoolbook" w:hAnsi="Century Schoolbook" w:cs="Times New Roman"/>
        </w:rPr>
        <w:t xml:space="preserve">can </w:t>
      </w:r>
      <w:r w:rsidR="003F12B1" w:rsidRPr="00E56B4D">
        <w:rPr>
          <w:rFonts w:ascii="Century Schoolbook" w:hAnsi="Century Schoolbook" w:cs="Times New Roman"/>
        </w:rPr>
        <w:t xml:space="preserve">help </w:t>
      </w:r>
      <w:r w:rsidR="00E07416">
        <w:rPr>
          <w:rFonts w:ascii="Century Schoolbook" w:hAnsi="Century Schoolbook" w:cs="Times New Roman"/>
        </w:rPr>
        <w:t xml:space="preserve">legal </w:t>
      </w:r>
      <w:r w:rsidR="00910D05">
        <w:rPr>
          <w:rFonts w:ascii="Century Schoolbook" w:hAnsi="Century Schoolbook" w:cs="Times New Roman"/>
        </w:rPr>
        <w:t>practitioners</w:t>
      </w:r>
      <w:r w:rsidR="003F12B1" w:rsidRPr="00E56B4D">
        <w:rPr>
          <w:rFonts w:ascii="Century Schoolbook" w:hAnsi="Century Schoolbook" w:cs="Times New Roman"/>
        </w:rPr>
        <w:t xml:space="preserve"> navigate </w:t>
      </w:r>
      <w:r w:rsidR="008F4BF6">
        <w:rPr>
          <w:rFonts w:ascii="Century Schoolbook" w:hAnsi="Century Schoolbook" w:cs="Times New Roman"/>
        </w:rPr>
        <w:t>difficult</w:t>
      </w:r>
      <w:r w:rsidR="003F12B1" w:rsidRPr="00E56B4D">
        <w:rPr>
          <w:rFonts w:ascii="Century Schoolbook" w:hAnsi="Century Schoolbook" w:cs="Times New Roman"/>
        </w:rPr>
        <w:t xml:space="preserve"> decision</w:t>
      </w:r>
      <w:r w:rsidR="008F4BF6">
        <w:rPr>
          <w:rFonts w:ascii="Century Schoolbook" w:hAnsi="Century Schoolbook" w:cs="Times New Roman"/>
        </w:rPr>
        <w:t>s</w:t>
      </w:r>
      <w:r w:rsidR="003F12B1" w:rsidRPr="00E56B4D">
        <w:rPr>
          <w:rFonts w:ascii="Century Schoolbook" w:hAnsi="Century Schoolbook" w:cs="Times New Roman"/>
        </w:rPr>
        <w:t xml:space="preserve"> and make </w:t>
      </w:r>
      <w:r w:rsidR="0031637C" w:rsidRPr="00E56B4D">
        <w:rPr>
          <w:rFonts w:ascii="Century Schoolbook" w:hAnsi="Century Schoolbook" w:cs="Times New Roman"/>
        </w:rPr>
        <w:t xml:space="preserve">sound and informed </w:t>
      </w:r>
      <w:r w:rsidR="003F12B1" w:rsidRPr="00E56B4D">
        <w:rPr>
          <w:rFonts w:ascii="Century Schoolbook" w:hAnsi="Century Schoolbook" w:cs="Times New Roman"/>
        </w:rPr>
        <w:t>decisions.</w:t>
      </w:r>
      <w:r w:rsidR="0031637C" w:rsidRPr="00E56B4D">
        <w:rPr>
          <w:rFonts w:ascii="Century Schoolbook" w:hAnsi="Century Schoolbook" w:cs="Times New Roman"/>
        </w:rPr>
        <w:t xml:space="preserve"> </w:t>
      </w:r>
    </w:p>
    <w:p w:rsidR="00641429" w:rsidRDefault="00E07416"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t>Privacy concerns have slowed access to and analysis of governmental and judicial databases</w:t>
      </w:r>
      <w:r w:rsidR="00C61E37">
        <w:rPr>
          <w:rFonts w:ascii="Century Schoolbook" w:hAnsi="Century Schoolbook" w:cs="Times New Roman"/>
        </w:rPr>
        <w:t xml:space="preserve">.  </w:t>
      </w:r>
      <w:r>
        <w:rPr>
          <w:rFonts w:ascii="Century Schoolbook" w:hAnsi="Century Schoolbook" w:cs="Times New Roman"/>
        </w:rPr>
        <w:t xml:space="preserve">What once considered open and public </w:t>
      </w:r>
      <w:proofErr w:type="gramStart"/>
      <w:r>
        <w:rPr>
          <w:rFonts w:ascii="Century Schoolbook" w:hAnsi="Century Schoolbook" w:cs="Times New Roman"/>
        </w:rPr>
        <w:t>data,</w:t>
      </w:r>
      <w:proofErr w:type="gramEnd"/>
      <w:r>
        <w:rPr>
          <w:rFonts w:ascii="Century Schoolbook" w:hAnsi="Century Schoolbook" w:cs="Times New Roman"/>
        </w:rPr>
        <w:t xml:space="preserve"> now has safeguards </w:t>
      </w:r>
      <w:r>
        <w:rPr>
          <w:rFonts w:ascii="Century Schoolbook" w:hAnsi="Century Schoolbook" w:cs="Times New Roman"/>
        </w:rPr>
        <w:lastRenderedPageBreak/>
        <w:t>to prevent violations of privacy.  Factors creating these concerns are the ubiquity and permanence of electronic storage over traditional paper based storage.</w:t>
      </w:r>
      <w:r w:rsidR="005C253F">
        <w:rPr>
          <w:rStyle w:val="EndnoteReference"/>
          <w:rFonts w:ascii="Century Schoolbook" w:hAnsi="Century Schoolbook" w:cs="Times New Roman"/>
        </w:rPr>
        <w:endnoteReference w:id="14"/>
      </w:r>
      <w:r w:rsidR="005C253F" w:rsidRPr="00E56B4D">
        <w:rPr>
          <w:rFonts w:ascii="Century Schoolbook" w:hAnsi="Century Schoolbook" w:cs="Times New Roman"/>
        </w:rPr>
        <w:t xml:space="preserve"> </w:t>
      </w:r>
      <w:r w:rsidR="005C253F">
        <w:rPr>
          <w:rFonts w:ascii="Century Schoolbook" w:hAnsi="Century Schoolbook" w:cs="Times New Roman"/>
        </w:rPr>
        <w:t xml:space="preserve"> The </w:t>
      </w:r>
      <w:r w:rsidR="005C253F" w:rsidRPr="00E56B4D">
        <w:rPr>
          <w:rFonts w:ascii="Century Schoolbook" w:hAnsi="Century Schoolbook" w:cs="Times New Roman"/>
        </w:rPr>
        <w:t>paper based system</w:t>
      </w:r>
      <w:r w:rsidR="005C253F">
        <w:rPr>
          <w:rFonts w:ascii="Century Schoolbook" w:hAnsi="Century Schoolbook" w:cs="Times New Roman"/>
        </w:rPr>
        <w:t>s</w:t>
      </w:r>
      <w:r w:rsidR="005C253F" w:rsidRPr="00E56B4D">
        <w:rPr>
          <w:rFonts w:ascii="Century Schoolbook" w:hAnsi="Century Schoolbook" w:cs="Times New Roman"/>
        </w:rPr>
        <w:t xml:space="preserve"> allow</w:t>
      </w:r>
      <w:r>
        <w:rPr>
          <w:rFonts w:ascii="Century Schoolbook" w:hAnsi="Century Schoolbook" w:cs="Times New Roman"/>
        </w:rPr>
        <w:t>ed</w:t>
      </w:r>
      <w:r w:rsidR="005C253F" w:rsidRPr="00E56B4D">
        <w:rPr>
          <w:rFonts w:ascii="Century Schoolbook" w:hAnsi="Century Schoolbook" w:cs="Times New Roman"/>
        </w:rPr>
        <w:t xml:space="preserve"> for a protective barrier</w:t>
      </w:r>
      <w:r w:rsidR="005C253F">
        <w:rPr>
          <w:rFonts w:ascii="Century Schoolbook" w:hAnsi="Century Schoolbook" w:cs="Times New Roman"/>
        </w:rPr>
        <w:t xml:space="preserve"> </w:t>
      </w:r>
      <w:r>
        <w:rPr>
          <w:rFonts w:ascii="Century Schoolbook" w:hAnsi="Century Schoolbook" w:cs="Times New Roman"/>
        </w:rPr>
        <w:t xml:space="preserve">of </w:t>
      </w:r>
      <w:r w:rsidR="005C253F">
        <w:rPr>
          <w:rFonts w:ascii="Century Schoolbook" w:hAnsi="Century Schoolbook" w:cs="Times New Roman"/>
        </w:rPr>
        <w:t>privacy because retrieval of data has a higher cost</w:t>
      </w:r>
      <w:r w:rsidR="005C253F" w:rsidRPr="00E56B4D">
        <w:rPr>
          <w:rFonts w:ascii="Century Schoolbook" w:hAnsi="Century Schoolbook" w:cs="Times New Roman"/>
        </w:rPr>
        <w:t>.</w:t>
      </w:r>
      <w:r w:rsidR="005C253F" w:rsidRPr="00E56B4D">
        <w:rPr>
          <w:rStyle w:val="EndnoteReference"/>
          <w:rFonts w:ascii="Century Schoolbook" w:hAnsi="Century Schoolbook" w:cs="Times New Roman"/>
        </w:rPr>
        <w:endnoteReference w:id="15"/>
      </w:r>
      <w:r w:rsidR="005C253F" w:rsidRPr="00E56B4D">
        <w:rPr>
          <w:rFonts w:ascii="Century Schoolbook" w:hAnsi="Century Schoolbook" w:cs="Times New Roman"/>
        </w:rPr>
        <w:t xml:space="preserve"> </w:t>
      </w:r>
      <w:r w:rsidR="005C253F">
        <w:rPr>
          <w:rFonts w:ascii="Century Schoolbook" w:hAnsi="Century Schoolbook" w:cs="Times New Roman"/>
        </w:rPr>
        <w:t xml:space="preserve"> </w:t>
      </w:r>
      <w:r w:rsidR="00F8567B">
        <w:rPr>
          <w:rFonts w:ascii="Century Schoolbook" w:hAnsi="Century Schoolbook" w:cs="Times New Roman"/>
        </w:rPr>
        <w:t xml:space="preserve">Electronic data is accessible in a cheap and easy fashion and the risk of personal information leaking out is exponentially higher </w:t>
      </w:r>
      <w:r>
        <w:rPr>
          <w:rFonts w:ascii="Century Schoolbook" w:hAnsi="Century Schoolbook" w:cs="Times New Roman"/>
        </w:rPr>
        <w:t xml:space="preserve">in an electronic </w:t>
      </w:r>
      <w:r w:rsidR="00F8567B">
        <w:rPr>
          <w:rFonts w:ascii="Century Schoolbook" w:hAnsi="Century Schoolbook" w:cs="Times New Roman"/>
        </w:rPr>
        <w:t xml:space="preserve">system.  </w:t>
      </w:r>
      <w:r>
        <w:rPr>
          <w:rFonts w:ascii="Century Schoolbook" w:hAnsi="Century Schoolbook" w:cs="Times New Roman"/>
        </w:rPr>
        <w:t>The old forms of legal protection in regards to privacy and transparency will have to be examined and change.  A</w:t>
      </w:r>
      <w:r w:rsidR="0031637C" w:rsidRPr="00E56B4D">
        <w:rPr>
          <w:rFonts w:ascii="Century Schoolbook" w:hAnsi="Century Schoolbook" w:cs="Times New Roman"/>
        </w:rPr>
        <w:t xml:space="preserve">ccess to and mining of </w:t>
      </w:r>
      <w:r>
        <w:rPr>
          <w:rFonts w:ascii="Century Schoolbook" w:hAnsi="Century Schoolbook" w:cs="Times New Roman"/>
        </w:rPr>
        <w:t xml:space="preserve">governmental and judicial </w:t>
      </w:r>
      <w:r w:rsidR="0031637C" w:rsidRPr="00E56B4D">
        <w:rPr>
          <w:rFonts w:ascii="Century Schoolbook" w:hAnsi="Century Schoolbook" w:cs="Times New Roman"/>
        </w:rPr>
        <w:t xml:space="preserve">databases </w:t>
      </w:r>
      <w:r>
        <w:rPr>
          <w:rFonts w:ascii="Century Schoolbook" w:hAnsi="Century Schoolbook" w:cs="Times New Roman"/>
        </w:rPr>
        <w:t>will require</w:t>
      </w:r>
      <w:r w:rsidR="008D76F1">
        <w:rPr>
          <w:rFonts w:ascii="Century Schoolbook" w:hAnsi="Century Schoolbook" w:cs="Times New Roman"/>
        </w:rPr>
        <w:t xml:space="preserve"> </w:t>
      </w:r>
      <w:r w:rsidR="0031637C" w:rsidRPr="00E56B4D">
        <w:rPr>
          <w:rFonts w:ascii="Century Schoolbook" w:hAnsi="Century Schoolbook" w:cs="Times New Roman"/>
        </w:rPr>
        <w:t xml:space="preserve">a delicate balance of </w:t>
      </w:r>
      <w:r w:rsidR="00A502D6">
        <w:rPr>
          <w:rFonts w:ascii="Century Schoolbook" w:hAnsi="Century Schoolbook" w:cs="Times New Roman"/>
        </w:rPr>
        <w:t>transparency and privacy</w:t>
      </w:r>
      <w:r w:rsidR="0031637C" w:rsidRPr="00E56B4D">
        <w:rPr>
          <w:rFonts w:ascii="Century Schoolbook" w:hAnsi="Century Schoolbook" w:cs="Times New Roman"/>
        </w:rPr>
        <w:t>.</w:t>
      </w:r>
      <w:r w:rsidR="0031637C" w:rsidRPr="00E56B4D">
        <w:rPr>
          <w:rStyle w:val="EndnoteReference"/>
          <w:rFonts w:ascii="Century Schoolbook" w:hAnsi="Century Schoolbook" w:cs="Times New Roman"/>
        </w:rPr>
        <w:endnoteReference w:id="16"/>
      </w:r>
      <w:r w:rsidR="0031637C" w:rsidRPr="00E56B4D">
        <w:rPr>
          <w:rFonts w:ascii="Century Schoolbook" w:hAnsi="Century Schoolbook" w:cs="Times New Roman"/>
        </w:rPr>
        <w:t xml:space="preserve"> </w:t>
      </w:r>
      <w:r w:rsidR="00641429" w:rsidRPr="00E56B4D">
        <w:rPr>
          <w:rFonts w:ascii="Century Schoolbook" w:hAnsi="Century Schoolbook" w:cs="Times New Roman"/>
        </w:rPr>
        <w:t xml:space="preserve"> </w:t>
      </w:r>
    </w:p>
    <w:p w:rsidR="00E07416" w:rsidRDefault="00E07416" w:rsidP="00E07416">
      <w:pPr>
        <w:pStyle w:val="Text"/>
        <w:spacing w:before="100" w:beforeAutospacing="1" w:after="240"/>
        <w:jc w:val="both"/>
        <w:rPr>
          <w:rFonts w:ascii="Century Schoolbook" w:hAnsi="Century Schoolbook" w:cs="Times New Roman"/>
        </w:rPr>
      </w:pPr>
      <w:r w:rsidRPr="00B00001">
        <w:rPr>
          <w:rFonts w:ascii="Century Schoolbook" w:hAnsi="Century Schoolbook" w:cs="Times New Roman"/>
        </w:rPr>
        <w:t>We are definitely moving into the era of large aggregated databases with powerful tools that statisticians and data-miners can access and use in ways never before foreseen.  These questions will become more pressing in the coming years as more aggregated databases are being housed, operated, and controlled by both private and state organizations.  Unless we live as complete hermits, there is no way to exist in modern society without leaving information traces, wherever we go.</w:t>
      </w:r>
      <w:r w:rsidRPr="00B00001">
        <w:rPr>
          <w:rStyle w:val="EndnoteReference"/>
          <w:rFonts w:ascii="Century Schoolbook" w:hAnsi="Century Schoolbook" w:cs="Times New Roman"/>
        </w:rPr>
        <w:endnoteReference w:id="17"/>
      </w:r>
      <w:r w:rsidRPr="00B00001">
        <w:rPr>
          <w:rFonts w:ascii="Century Schoolbook" w:hAnsi="Century Schoolbook" w:cs="Times New Roman"/>
        </w:rPr>
        <w:t xml:space="preserve">  These databases and the analytical programs are powerful tools for us, and there is not much we can do to prevent this era; it is here, but society can examine and study this phenomenon in order to protect ourselves within the current legal framework.</w:t>
      </w:r>
      <w:r w:rsidR="00B14530">
        <w:rPr>
          <w:rFonts w:ascii="Century Schoolbook" w:hAnsi="Century Schoolbook" w:cs="Times New Roman"/>
        </w:rPr>
        <w:t xml:space="preserve">  While the issue of databases and analytics can be applied to both governmental and judicial database, i</w:t>
      </w:r>
      <w:r w:rsidRPr="00E56B4D">
        <w:rPr>
          <w:rFonts w:ascii="Century Schoolbook" w:hAnsi="Century Schoolbook" w:cs="Times New Roman"/>
        </w:rPr>
        <w:t xml:space="preserve">n this paper, I will </w:t>
      </w:r>
      <w:r w:rsidR="00B14530">
        <w:rPr>
          <w:rFonts w:ascii="Century Schoolbook" w:hAnsi="Century Schoolbook" w:cs="Times New Roman"/>
        </w:rPr>
        <w:t xml:space="preserve">focus </w:t>
      </w:r>
      <w:r>
        <w:rPr>
          <w:rFonts w:ascii="Century Schoolbook" w:hAnsi="Century Schoolbook" w:cs="Times New Roman"/>
        </w:rPr>
        <w:t xml:space="preserve">the growth and aggregation of judicial data, the privacy and transparency </w:t>
      </w:r>
      <w:r w:rsidRPr="00E56B4D">
        <w:rPr>
          <w:rFonts w:ascii="Century Schoolbook" w:hAnsi="Century Schoolbook" w:cs="Times New Roman"/>
        </w:rPr>
        <w:t>tension</w:t>
      </w:r>
      <w:r>
        <w:rPr>
          <w:rFonts w:ascii="Century Schoolbook" w:hAnsi="Century Schoolbook" w:cs="Times New Roman"/>
        </w:rPr>
        <w:t xml:space="preserve">s, </w:t>
      </w:r>
      <w:r w:rsidRPr="00E56B4D">
        <w:rPr>
          <w:rFonts w:ascii="Century Schoolbook" w:hAnsi="Century Schoolbook" w:cs="Times New Roman"/>
        </w:rPr>
        <w:t xml:space="preserve">and </w:t>
      </w:r>
      <w:r>
        <w:rPr>
          <w:rFonts w:ascii="Century Schoolbook" w:hAnsi="Century Schoolbook" w:cs="Times New Roman"/>
        </w:rPr>
        <w:t xml:space="preserve">two </w:t>
      </w:r>
      <w:r w:rsidRPr="00E56B4D">
        <w:rPr>
          <w:rFonts w:ascii="Century Schoolbook" w:hAnsi="Century Schoolbook" w:cs="Times New Roman"/>
        </w:rPr>
        <w:t xml:space="preserve">possible solutions to this tension.  </w:t>
      </w:r>
    </w:p>
    <w:p w:rsidR="00E07416" w:rsidRPr="00E56B4D" w:rsidRDefault="00E07416" w:rsidP="0002068B">
      <w:pPr>
        <w:pStyle w:val="Text"/>
        <w:spacing w:before="100" w:beforeAutospacing="1" w:after="240"/>
        <w:jc w:val="both"/>
        <w:rPr>
          <w:rFonts w:ascii="Century Schoolbook" w:hAnsi="Century Schoolbook" w:cs="Times New Roman"/>
        </w:rPr>
      </w:pPr>
    </w:p>
    <w:p w:rsidR="00641429" w:rsidRPr="00E56B4D" w:rsidRDefault="009F0ED5" w:rsidP="0002068B">
      <w:pPr>
        <w:pStyle w:val="Heading"/>
        <w:spacing w:before="360" w:beforeAutospacing="1" w:after="240" w:line="480" w:lineRule="auto"/>
        <w:jc w:val="both"/>
        <w:rPr>
          <w:rFonts w:cs="Times New Roman"/>
        </w:rPr>
      </w:pPr>
      <w:bookmarkStart w:id="1" w:name="_Toc362462011"/>
      <w:r w:rsidRPr="00E56B4D">
        <w:rPr>
          <w:rFonts w:cs="Times New Roman"/>
        </w:rPr>
        <w:t xml:space="preserve">II. </w:t>
      </w:r>
      <w:r w:rsidR="005C253F">
        <w:rPr>
          <w:rFonts w:cs="Times New Roman"/>
        </w:rPr>
        <w:t xml:space="preserve">THE </w:t>
      </w:r>
      <w:r w:rsidR="00641429" w:rsidRPr="00E56B4D">
        <w:rPr>
          <w:rFonts w:cs="Times New Roman"/>
        </w:rPr>
        <w:t>AGGREGATION OF</w:t>
      </w:r>
      <w:r w:rsidRPr="00E56B4D">
        <w:rPr>
          <w:rFonts w:cs="Times New Roman"/>
        </w:rPr>
        <w:t xml:space="preserve"> JUDICIAL</w:t>
      </w:r>
      <w:r w:rsidR="00641429" w:rsidRPr="00E56B4D">
        <w:rPr>
          <w:rFonts w:cs="Times New Roman"/>
        </w:rPr>
        <w:t xml:space="preserve"> DATA</w:t>
      </w:r>
      <w:bookmarkEnd w:id="1"/>
    </w:p>
    <w:p w:rsidR="00641429" w:rsidRDefault="0040675E"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t>As their private and governmental counterparts, l</w:t>
      </w:r>
      <w:r w:rsidR="00F8567B">
        <w:rPr>
          <w:rFonts w:ascii="Century Schoolbook" w:hAnsi="Century Schoolbook" w:cs="Times New Roman"/>
        </w:rPr>
        <w:t>egal</w:t>
      </w:r>
      <w:r w:rsidR="00A40CE8">
        <w:rPr>
          <w:rFonts w:ascii="Century Schoolbook" w:hAnsi="Century Schoolbook" w:cs="Times New Roman"/>
        </w:rPr>
        <w:t xml:space="preserve"> databases are growing in this new era</w:t>
      </w:r>
      <w:r>
        <w:rPr>
          <w:rFonts w:ascii="Century Schoolbook" w:hAnsi="Century Schoolbook" w:cs="Times New Roman"/>
        </w:rPr>
        <w:t xml:space="preserve">, being </w:t>
      </w:r>
      <w:r w:rsidR="00B9415A" w:rsidRPr="00E56B4D">
        <w:rPr>
          <w:rFonts w:ascii="Century Schoolbook" w:hAnsi="Century Schoolbook" w:cs="Times New Roman"/>
        </w:rPr>
        <w:t xml:space="preserve">driven by a need </w:t>
      </w:r>
      <w:r w:rsidR="002930E5" w:rsidRPr="00E56B4D">
        <w:rPr>
          <w:rFonts w:ascii="Century Schoolbook" w:hAnsi="Century Schoolbook" w:cs="Times New Roman"/>
        </w:rPr>
        <w:t>for more efficiency</w:t>
      </w:r>
      <w:r w:rsidR="00B9415A" w:rsidRPr="00E56B4D">
        <w:rPr>
          <w:rFonts w:ascii="Century Schoolbook" w:hAnsi="Century Schoolbook" w:cs="Times New Roman"/>
        </w:rPr>
        <w:t xml:space="preserve"> and access</w:t>
      </w:r>
      <w:r w:rsidR="002930E5" w:rsidRPr="00E56B4D">
        <w:rPr>
          <w:rFonts w:ascii="Century Schoolbook" w:hAnsi="Century Schoolbook" w:cs="Times New Roman"/>
        </w:rPr>
        <w:t xml:space="preserve">.  </w:t>
      </w:r>
      <w:r w:rsidR="00FB1C76">
        <w:rPr>
          <w:rFonts w:ascii="Century Schoolbook" w:hAnsi="Century Schoolbook" w:cs="Times New Roman"/>
        </w:rPr>
        <w:t xml:space="preserve">Different agencies within federal and state governments are looking to increase their own access to </w:t>
      </w:r>
      <w:r>
        <w:rPr>
          <w:rFonts w:ascii="Century Schoolbook" w:hAnsi="Century Schoolbook" w:cs="Times New Roman"/>
        </w:rPr>
        <w:t xml:space="preserve">judicial </w:t>
      </w:r>
      <w:r w:rsidR="00FB1C76">
        <w:rPr>
          <w:rFonts w:ascii="Century Schoolbook" w:hAnsi="Century Schoolbook" w:cs="Times New Roman"/>
        </w:rPr>
        <w:t>databases and create interoperability between agencies</w:t>
      </w:r>
      <w:r w:rsidR="00A360BE">
        <w:rPr>
          <w:rFonts w:ascii="Century Schoolbook" w:hAnsi="Century Schoolbook" w:cs="Times New Roman"/>
        </w:rPr>
        <w:t>, which is driving this growth</w:t>
      </w:r>
      <w:r w:rsidR="00FB1C76">
        <w:rPr>
          <w:rFonts w:ascii="Century Schoolbook" w:hAnsi="Century Schoolbook" w:cs="Times New Roman"/>
        </w:rPr>
        <w:t xml:space="preserve">.  </w:t>
      </w:r>
      <w:r w:rsidR="00B9415A" w:rsidRPr="00E56B4D">
        <w:rPr>
          <w:rFonts w:ascii="Century Schoolbook" w:hAnsi="Century Schoolbook" w:cs="Times New Roman"/>
        </w:rPr>
        <w:t xml:space="preserve">Federal and State </w:t>
      </w:r>
      <w:r w:rsidR="006B7CF7">
        <w:rPr>
          <w:rFonts w:ascii="Century Schoolbook" w:hAnsi="Century Schoolbook" w:cs="Times New Roman"/>
        </w:rPr>
        <w:t xml:space="preserve">governments </w:t>
      </w:r>
      <w:r w:rsidR="00B9415A" w:rsidRPr="00E56B4D">
        <w:rPr>
          <w:rFonts w:ascii="Century Schoolbook" w:hAnsi="Century Schoolbook" w:cs="Times New Roman"/>
        </w:rPr>
        <w:t>have created their own initiatives to create and aggregate judicial data</w:t>
      </w:r>
      <w:r w:rsidR="006B7CF7">
        <w:rPr>
          <w:rFonts w:ascii="Century Schoolbook" w:hAnsi="Century Schoolbook" w:cs="Times New Roman"/>
        </w:rPr>
        <w:t xml:space="preserve"> for their own use</w:t>
      </w:r>
      <w:r w:rsidR="00B9415A" w:rsidRPr="00E56B4D">
        <w:rPr>
          <w:rFonts w:ascii="Century Schoolbook" w:hAnsi="Century Schoolbook" w:cs="Times New Roman"/>
        </w:rPr>
        <w:t xml:space="preserve">.  </w:t>
      </w:r>
      <w:r w:rsidR="00641429" w:rsidRPr="00E56B4D">
        <w:rPr>
          <w:rFonts w:ascii="Century Schoolbook" w:hAnsi="Century Schoolbook" w:cs="Times New Roman"/>
        </w:rPr>
        <w:t xml:space="preserve">The Federal </w:t>
      </w:r>
      <w:r w:rsidR="006B7CF7">
        <w:rPr>
          <w:rFonts w:ascii="Century Schoolbook" w:hAnsi="Century Schoolbook" w:cs="Times New Roman"/>
        </w:rPr>
        <w:t xml:space="preserve">government and </w:t>
      </w:r>
      <w:r w:rsidR="00641429" w:rsidRPr="00E56B4D">
        <w:rPr>
          <w:rFonts w:ascii="Century Schoolbook" w:hAnsi="Century Schoolbook" w:cs="Times New Roman"/>
        </w:rPr>
        <w:t xml:space="preserve">courts </w:t>
      </w:r>
      <w:r w:rsidR="006B7CF7">
        <w:rPr>
          <w:rFonts w:ascii="Century Schoolbook" w:hAnsi="Century Schoolbook" w:cs="Times New Roman"/>
        </w:rPr>
        <w:t xml:space="preserve">have created a system </w:t>
      </w:r>
      <w:r w:rsidR="00641429" w:rsidRPr="00E56B4D">
        <w:rPr>
          <w:rFonts w:ascii="Century Schoolbook" w:hAnsi="Century Schoolbook" w:cs="Times New Roman"/>
        </w:rPr>
        <w:t>called PACER</w:t>
      </w:r>
      <w:r w:rsidR="006B7CF7">
        <w:rPr>
          <w:rFonts w:ascii="Century Schoolbook" w:hAnsi="Century Schoolbook" w:cs="Times New Roman"/>
        </w:rPr>
        <w:t xml:space="preserve"> to store and access electronic data,</w:t>
      </w:r>
      <w:r w:rsidR="00641429" w:rsidRPr="00E56B4D">
        <w:rPr>
          <w:rFonts w:ascii="Century Schoolbook" w:hAnsi="Century Schoolbook" w:cs="Times New Roman"/>
        </w:rPr>
        <w:t xml:space="preserve"> and state courts have use</w:t>
      </w:r>
      <w:r w:rsidR="00960C63" w:rsidRPr="00E56B4D">
        <w:rPr>
          <w:rFonts w:ascii="Century Schoolbook" w:hAnsi="Century Schoolbook" w:cs="Times New Roman"/>
        </w:rPr>
        <w:t xml:space="preserve">d several </w:t>
      </w:r>
      <w:r w:rsidR="006B7CF7">
        <w:rPr>
          <w:rFonts w:ascii="Century Schoolbook" w:hAnsi="Century Schoolbook" w:cs="Times New Roman"/>
        </w:rPr>
        <w:t xml:space="preserve">different </w:t>
      </w:r>
      <w:r w:rsidR="00960C63" w:rsidRPr="00E56B4D">
        <w:rPr>
          <w:rFonts w:ascii="Century Schoolbook" w:hAnsi="Century Schoolbook" w:cs="Times New Roman"/>
        </w:rPr>
        <w:t>types of models.</w:t>
      </w:r>
    </w:p>
    <w:p w:rsidR="00641429" w:rsidRPr="00E56B4D" w:rsidRDefault="00641429" w:rsidP="0002068B">
      <w:pPr>
        <w:pStyle w:val="Heading1"/>
        <w:numPr>
          <w:ilvl w:val="0"/>
          <w:numId w:val="1"/>
        </w:numPr>
        <w:spacing w:before="100" w:beforeAutospacing="1" w:after="240" w:line="480" w:lineRule="auto"/>
        <w:jc w:val="both"/>
        <w:rPr>
          <w:rFonts w:ascii="Century Schoolbook" w:hAnsi="Century Schoolbook" w:cs="Times New Roman"/>
          <w:sz w:val="24"/>
          <w:szCs w:val="24"/>
        </w:rPr>
      </w:pPr>
      <w:bookmarkStart w:id="2" w:name="_Toc362462012"/>
      <w:r w:rsidRPr="00E56B4D">
        <w:rPr>
          <w:rFonts w:ascii="Century Schoolbook" w:hAnsi="Century Schoolbook" w:cs="Times New Roman"/>
          <w:sz w:val="24"/>
          <w:szCs w:val="24"/>
        </w:rPr>
        <w:t>Federal Courts</w:t>
      </w:r>
      <w:bookmarkEnd w:id="2"/>
    </w:p>
    <w:p w:rsidR="000B0107" w:rsidRDefault="00641429" w:rsidP="0002068B">
      <w:pPr>
        <w:pStyle w:val="Text"/>
        <w:spacing w:before="100" w:beforeAutospacing="1" w:after="240"/>
        <w:jc w:val="both"/>
        <w:rPr>
          <w:rFonts w:ascii="Century Schoolbook" w:hAnsi="Century Schoolbook" w:cs="Times New Roman"/>
        </w:rPr>
      </w:pPr>
      <w:r w:rsidRPr="00E56B4D">
        <w:rPr>
          <w:rFonts w:ascii="Century Schoolbook" w:hAnsi="Century Schoolbook" w:cs="Times New Roman"/>
        </w:rPr>
        <w:t xml:space="preserve">The system that the Federal Court’s have used to aggregate </w:t>
      </w:r>
      <w:r w:rsidR="008D76F1">
        <w:rPr>
          <w:rFonts w:ascii="Century Schoolbook" w:hAnsi="Century Schoolbook" w:cs="Times New Roman"/>
        </w:rPr>
        <w:t xml:space="preserve">judicial </w:t>
      </w:r>
      <w:r w:rsidRPr="00E56B4D">
        <w:rPr>
          <w:rFonts w:ascii="Century Schoolbook" w:hAnsi="Century Schoolbook" w:cs="Times New Roman"/>
        </w:rPr>
        <w:t>data is the PACER (Public Access to Court Electronic Records</w:t>
      </w:r>
      <w:r w:rsidR="00FB1C76">
        <w:rPr>
          <w:rFonts w:ascii="Century Schoolbook" w:hAnsi="Century Schoolbook" w:cs="Times New Roman"/>
        </w:rPr>
        <w:t>) system.  Federal Level court</w:t>
      </w:r>
      <w:r w:rsidRPr="00E56B4D">
        <w:rPr>
          <w:rFonts w:ascii="Century Schoolbook" w:hAnsi="Century Schoolbook" w:cs="Times New Roman"/>
        </w:rPr>
        <w:t xml:space="preserve"> data has been largely taken over by PACER.  </w:t>
      </w:r>
      <w:r w:rsidR="00AD7200">
        <w:rPr>
          <w:rFonts w:ascii="Century Schoolbook" w:hAnsi="Century Schoolbook" w:cs="Times New Roman"/>
        </w:rPr>
        <w:t xml:space="preserve">Since </w:t>
      </w:r>
      <w:r w:rsidRPr="00E56B4D">
        <w:rPr>
          <w:rFonts w:ascii="Century Schoolbook" w:hAnsi="Century Schoolbook" w:cs="Times New Roman"/>
        </w:rPr>
        <w:t xml:space="preserve">1998, </w:t>
      </w:r>
      <w:r w:rsidR="00AD7200">
        <w:rPr>
          <w:rFonts w:ascii="Century Schoolbook" w:hAnsi="Century Schoolbook" w:cs="Times New Roman"/>
        </w:rPr>
        <w:t xml:space="preserve">PACER has been </w:t>
      </w:r>
      <w:r w:rsidRPr="00E56B4D">
        <w:rPr>
          <w:rFonts w:ascii="Century Schoolbook" w:hAnsi="Century Schoolbook" w:cs="Times New Roman"/>
        </w:rPr>
        <w:t xml:space="preserve">fully </w:t>
      </w:r>
      <w:r w:rsidR="00A40CE8">
        <w:rPr>
          <w:rFonts w:ascii="Century Schoolbook" w:hAnsi="Century Schoolbook" w:cs="Times New Roman"/>
        </w:rPr>
        <w:t>accessible</w:t>
      </w:r>
      <w:r w:rsidRPr="00E56B4D">
        <w:rPr>
          <w:rFonts w:ascii="Century Schoolbook" w:hAnsi="Century Schoolbook" w:cs="Times New Roman"/>
        </w:rPr>
        <w:t xml:space="preserve"> on the web.</w:t>
      </w:r>
      <w:r w:rsidRPr="00E56B4D">
        <w:rPr>
          <w:rStyle w:val="EndnoteReference"/>
          <w:rFonts w:ascii="Century Schoolbook" w:hAnsi="Century Schoolbook" w:cs="Times New Roman"/>
        </w:rPr>
        <w:endnoteReference w:id="18"/>
      </w:r>
      <w:r w:rsidRPr="00E56B4D">
        <w:rPr>
          <w:rFonts w:ascii="Century Schoolbook" w:hAnsi="Century Schoolbook" w:cs="Times New Roman"/>
        </w:rPr>
        <w:t xml:space="preserve">  PACER </w:t>
      </w:r>
      <w:r w:rsidR="00AD7200">
        <w:rPr>
          <w:rFonts w:ascii="Century Schoolbook" w:hAnsi="Century Schoolbook" w:cs="Times New Roman"/>
        </w:rPr>
        <w:t xml:space="preserve">has largely </w:t>
      </w:r>
      <w:r w:rsidRPr="00E56B4D">
        <w:rPr>
          <w:rFonts w:ascii="Century Schoolbook" w:hAnsi="Century Schoolbook" w:cs="Times New Roman"/>
        </w:rPr>
        <w:t xml:space="preserve">functioned as a system </w:t>
      </w:r>
      <w:r w:rsidR="00910D05">
        <w:rPr>
          <w:rFonts w:ascii="Century Schoolbook" w:hAnsi="Century Schoolbook" w:cs="Times New Roman"/>
        </w:rPr>
        <w:t xml:space="preserve">for </w:t>
      </w:r>
      <w:r w:rsidR="00AD7200">
        <w:rPr>
          <w:rFonts w:ascii="Century Schoolbook" w:hAnsi="Century Schoolbook" w:cs="Times New Roman"/>
        </w:rPr>
        <w:t xml:space="preserve">electronic </w:t>
      </w:r>
      <w:r w:rsidR="00910D05">
        <w:rPr>
          <w:rFonts w:ascii="Century Schoolbook" w:hAnsi="Century Schoolbook" w:cs="Times New Roman"/>
        </w:rPr>
        <w:t>document upload and retrieval</w:t>
      </w:r>
      <w:r w:rsidR="00AD7200">
        <w:rPr>
          <w:rFonts w:ascii="Century Schoolbook" w:hAnsi="Century Schoolbook" w:cs="Times New Roman"/>
        </w:rPr>
        <w:t>.</w:t>
      </w:r>
      <w:r w:rsidRPr="00E56B4D">
        <w:rPr>
          <w:rStyle w:val="EndnoteReference"/>
          <w:rFonts w:ascii="Century Schoolbook" w:hAnsi="Century Schoolbook" w:cs="Times New Roman"/>
        </w:rPr>
        <w:endnoteReference w:id="19"/>
      </w:r>
      <w:r w:rsidRPr="00E56B4D">
        <w:rPr>
          <w:rFonts w:ascii="Century Schoolbook" w:hAnsi="Century Schoolbook" w:cs="Times New Roman"/>
        </w:rPr>
        <w:t xml:space="preserve">  </w:t>
      </w:r>
      <w:r w:rsidR="00AD7200">
        <w:rPr>
          <w:rFonts w:ascii="Century Schoolbook" w:hAnsi="Century Schoolbook" w:cs="Times New Roman"/>
        </w:rPr>
        <w:t>The electronic documents are in the form of images or PDFs.  It should be noted that e</w:t>
      </w:r>
      <w:r w:rsidRPr="00E56B4D">
        <w:rPr>
          <w:rFonts w:ascii="Century Schoolbook" w:hAnsi="Century Schoolbook" w:cs="Times New Roman"/>
        </w:rPr>
        <w:t xml:space="preserve">lectronic documents </w:t>
      </w:r>
      <w:r w:rsidR="00AD7200">
        <w:rPr>
          <w:rFonts w:ascii="Century Schoolbook" w:hAnsi="Century Schoolbook" w:cs="Times New Roman"/>
        </w:rPr>
        <w:t xml:space="preserve">do </w:t>
      </w:r>
      <w:r w:rsidRPr="00E56B4D">
        <w:rPr>
          <w:rFonts w:ascii="Century Schoolbook" w:hAnsi="Century Schoolbook" w:cs="Times New Roman"/>
        </w:rPr>
        <w:t>have some of the protections of old paper documents because the data is buried within the</w:t>
      </w:r>
      <w:r w:rsidR="00F8567B">
        <w:rPr>
          <w:rFonts w:ascii="Century Schoolbook" w:hAnsi="Century Schoolbook" w:cs="Times New Roman"/>
        </w:rPr>
        <w:t xml:space="preserve"> computer code of the</w:t>
      </w:r>
      <w:r w:rsidRPr="00E56B4D">
        <w:rPr>
          <w:rFonts w:ascii="Century Schoolbook" w:hAnsi="Century Schoolbook" w:cs="Times New Roman"/>
        </w:rPr>
        <w:t xml:space="preserve"> document.  </w:t>
      </w:r>
      <w:r w:rsidR="00D35E78">
        <w:rPr>
          <w:rFonts w:ascii="Century Schoolbook" w:hAnsi="Century Schoolbook" w:cs="Times New Roman"/>
        </w:rPr>
        <w:t xml:space="preserve">However, </w:t>
      </w:r>
      <w:r w:rsidR="000B0107">
        <w:rPr>
          <w:rFonts w:ascii="Century Schoolbook" w:hAnsi="Century Schoolbook" w:cs="Times New Roman"/>
        </w:rPr>
        <w:t>the data from electronic documents can be extracted from the documents through Optical Character Recognition, digital scrapping the document, or processes pulling text from the documents</w:t>
      </w:r>
      <w:r w:rsidRPr="00E56B4D">
        <w:rPr>
          <w:rFonts w:ascii="Century Schoolbook" w:hAnsi="Century Schoolbook" w:cs="Times New Roman"/>
        </w:rPr>
        <w:t xml:space="preserve">.  </w:t>
      </w:r>
    </w:p>
    <w:p w:rsidR="00131144" w:rsidRPr="00A502D6" w:rsidRDefault="00641429" w:rsidP="007E3A99">
      <w:pPr>
        <w:pStyle w:val="Text"/>
        <w:spacing w:before="100" w:beforeAutospacing="1" w:after="240"/>
        <w:jc w:val="both"/>
        <w:rPr>
          <w:rFonts w:ascii="Century Schoolbook" w:hAnsi="Century Schoolbook" w:cs="Times New Roman"/>
        </w:rPr>
      </w:pPr>
      <w:r w:rsidRPr="00E56B4D">
        <w:rPr>
          <w:rFonts w:ascii="Century Schoolbook" w:hAnsi="Century Schoolbook" w:cs="Times New Roman"/>
        </w:rPr>
        <w:lastRenderedPageBreak/>
        <w:t xml:space="preserve">PACER </w:t>
      </w:r>
      <w:r w:rsidR="00F8567B">
        <w:rPr>
          <w:rFonts w:ascii="Century Schoolbook" w:hAnsi="Century Schoolbook" w:cs="Times New Roman"/>
        </w:rPr>
        <w:t xml:space="preserve">has been </w:t>
      </w:r>
      <w:r w:rsidR="00F27314">
        <w:rPr>
          <w:rFonts w:ascii="Century Schoolbook" w:hAnsi="Century Schoolbook" w:cs="Times New Roman"/>
        </w:rPr>
        <w:t xml:space="preserve">quickly </w:t>
      </w:r>
      <w:r w:rsidR="00F8567B">
        <w:rPr>
          <w:rFonts w:ascii="Century Schoolbook" w:hAnsi="Century Schoolbook" w:cs="Times New Roman"/>
        </w:rPr>
        <w:t xml:space="preserve">moving to a system </w:t>
      </w:r>
      <w:r w:rsidR="00D35E78">
        <w:rPr>
          <w:rFonts w:ascii="Century Schoolbook" w:hAnsi="Century Schoolbook" w:cs="Times New Roman"/>
        </w:rPr>
        <w:t>that breaks document information into variables stored in large databases</w:t>
      </w:r>
      <w:r w:rsidR="008B6C23">
        <w:rPr>
          <w:rFonts w:ascii="Century Schoolbook" w:hAnsi="Century Schoolbook" w:cs="Times New Roman"/>
        </w:rPr>
        <w:t xml:space="preserve">.  For example, </w:t>
      </w:r>
      <w:r w:rsidRPr="00E56B4D">
        <w:rPr>
          <w:rFonts w:ascii="Century Schoolbook" w:hAnsi="Century Schoolbook" w:cs="Times New Roman"/>
        </w:rPr>
        <w:t xml:space="preserve">basic docketing information </w:t>
      </w:r>
      <w:r w:rsidR="008B6C23">
        <w:rPr>
          <w:rFonts w:ascii="Century Schoolbook" w:hAnsi="Century Schoolbook" w:cs="Times New Roman"/>
        </w:rPr>
        <w:t xml:space="preserve">has been extended to include </w:t>
      </w:r>
      <w:r w:rsidRPr="00E56B4D">
        <w:rPr>
          <w:rFonts w:ascii="Century Schoolbook" w:hAnsi="Century Schoolbook" w:cs="Times New Roman"/>
        </w:rPr>
        <w:t xml:space="preserve">the names of the parties, attorneys, general type of action, and </w:t>
      </w:r>
      <w:r w:rsidR="00D35E78">
        <w:rPr>
          <w:rFonts w:ascii="Century Schoolbook" w:hAnsi="Century Schoolbook" w:cs="Times New Roman"/>
        </w:rPr>
        <w:t>other variables for document retrieval</w:t>
      </w:r>
      <w:r w:rsidRPr="00E56B4D">
        <w:rPr>
          <w:rFonts w:ascii="Century Schoolbook" w:hAnsi="Century Schoolbook" w:cs="Times New Roman"/>
        </w:rPr>
        <w:t>.</w:t>
      </w:r>
      <w:r w:rsidRPr="00E56B4D">
        <w:rPr>
          <w:rStyle w:val="EndnoteReference"/>
          <w:rFonts w:ascii="Century Schoolbook" w:hAnsi="Century Schoolbook" w:cs="Times New Roman"/>
        </w:rPr>
        <w:endnoteReference w:id="20"/>
      </w:r>
      <w:r w:rsidRPr="00E56B4D">
        <w:rPr>
          <w:rFonts w:ascii="Century Schoolbook" w:hAnsi="Century Schoolbook" w:cs="Times New Roman"/>
        </w:rPr>
        <w:t xml:space="preserve">  </w:t>
      </w:r>
      <w:r w:rsidR="00A6213C">
        <w:rPr>
          <w:rFonts w:ascii="Century Schoolbook" w:hAnsi="Century Schoolbook" w:cs="Times New Roman"/>
        </w:rPr>
        <w:t xml:space="preserve">The variables populate the documents when the user retrieves them.  </w:t>
      </w:r>
      <w:r w:rsidR="00D35E78">
        <w:rPr>
          <w:rFonts w:ascii="Century Schoolbook" w:hAnsi="Century Schoolbook" w:cs="Times New Roman"/>
        </w:rPr>
        <w:t xml:space="preserve">Over the past several years, </w:t>
      </w:r>
      <w:r w:rsidR="00063D3F" w:rsidRPr="00E56B4D">
        <w:rPr>
          <w:rFonts w:ascii="Century Schoolbook" w:hAnsi="Century Schoolbook" w:cs="Times New Roman"/>
        </w:rPr>
        <w:t xml:space="preserve">PACER </w:t>
      </w:r>
      <w:r w:rsidR="00A502D6">
        <w:rPr>
          <w:rFonts w:ascii="Century Schoolbook" w:hAnsi="Century Schoolbook" w:cs="Times New Roman"/>
        </w:rPr>
        <w:t xml:space="preserve">has </w:t>
      </w:r>
      <w:r w:rsidR="00D35E78">
        <w:rPr>
          <w:rFonts w:ascii="Century Schoolbook" w:hAnsi="Century Schoolbook" w:cs="Times New Roman"/>
        </w:rPr>
        <w:t>been experimenting</w:t>
      </w:r>
      <w:r w:rsidR="00A502D6">
        <w:rPr>
          <w:rFonts w:ascii="Century Schoolbook" w:hAnsi="Century Schoolbook" w:cs="Times New Roman"/>
        </w:rPr>
        <w:t xml:space="preserve"> with a few </w:t>
      </w:r>
      <w:r w:rsidR="00063D3F" w:rsidRPr="00E56B4D">
        <w:rPr>
          <w:rFonts w:ascii="Century Schoolbook" w:hAnsi="Century Schoolbook" w:cs="Times New Roman"/>
        </w:rPr>
        <w:t xml:space="preserve">court documents </w:t>
      </w:r>
      <w:r w:rsidR="00A502D6">
        <w:rPr>
          <w:rFonts w:ascii="Century Schoolbook" w:hAnsi="Century Schoolbook" w:cs="Times New Roman"/>
        </w:rPr>
        <w:t xml:space="preserve">that have </w:t>
      </w:r>
      <w:proofErr w:type="spellStart"/>
      <w:r w:rsidR="00063D3F" w:rsidRPr="00E56B4D">
        <w:rPr>
          <w:rFonts w:ascii="Century Schoolbook" w:hAnsi="Century Schoolbook" w:cs="Times New Roman"/>
        </w:rPr>
        <w:t>fillable</w:t>
      </w:r>
      <w:proofErr w:type="spellEnd"/>
      <w:r w:rsidR="00063D3F" w:rsidRPr="00E56B4D">
        <w:rPr>
          <w:rFonts w:ascii="Century Schoolbook" w:hAnsi="Century Schoolbook" w:cs="Times New Roman"/>
        </w:rPr>
        <w:t xml:space="preserve"> PDF documents that write </w:t>
      </w:r>
      <w:r w:rsidR="008B6C23">
        <w:rPr>
          <w:rFonts w:ascii="Century Schoolbook" w:hAnsi="Century Schoolbook" w:cs="Times New Roman"/>
        </w:rPr>
        <w:t xml:space="preserve">all the </w:t>
      </w:r>
      <w:r w:rsidR="00D35E78">
        <w:rPr>
          <w:rFonts w:ascii="Century Schoolbook" w:hAnsi="Century Schoolbook" w:cs="Times New Roman"/>
        </w:rPr>
        <w:t xml:space="preserve">documents fields and </w:t>
      </w:r>
      <w:r w:rsidR="001E6E21" w:rsidRPr="00E56B4D">
        <w:rPr>
          <w:rFonts w:ascii="Century Schoolbook" w:hAnsi="Century Schoolbook" w:cs="Times New Roman"/>
        </w:rPr>
        <w:t xml:space="preserve">variables to </w:t>
      </w:r>
      <w:r w:rsidR="00C52BA5">
        <w:rPr>
          <w:rFonts w:ascii="Century Schoolbook" w:hAnsi="Century Schoolbook" w:cs="Times New Roman"/>
        </w:rPr>
        <w:t xml:space="preserve">a </w:t>
      </w:r>
      <w:r w:rsidR="00063D3F" w:rsidRPr="00E56B4D">
        <w:rPr>
          <w:rFonts w:ascii="Century Schoolbook" w:hAnsi="Century Schoolbook" w:cs="Times New Roman"/>
        </w:rPr>
        <w:t>database.</w:t>
      </w:r>
      <w:r w:rsidR="00063D3F" w:rsidRPr="00E56B4D">
        <w:rPr>
          <w:rStyle w:val="EndnoteReference"/>
          <w:rFonts w:ascii="Century Schoolbook" w:hAnsi="Century Schoolbook" w:cs="Times New Roman"/>
        </w:rPr>
        <w:endnoteReference w:id="21"/>
      </w:r>
      <w:r w:rsidR="00063D3F" w:rsidRPr="00E56B4D">
        <w:rPr>
          <w:rFonts w:ascii="Century Schoolbook" w:hAnsi="Century Schoolbook" w:cs="Times New Roman"/>
        </w:rPr>
        <w:t xml:space="preserve">  </w:t>
      </w:r>
      <w:r w:rsidRPr="00E56B4D">
        <w:rPr>
          <w:rFonts w:ascii="Century Schoolbook" w:hAnsi="Century Schoolbook" w:cs="Times New Roman"/>
        </w:rPr>
        <w:t>PACER has expanded it</w:t>
      </w:r>
      <w:r w:rsidR="00D35E78">
        <w:rPr>
          <w:rFonts w:ascii="Century Schoolbook" w:hAnsi="Century Schoolbook" w:cs="Times New Roman"/>
        </w:rPr>
        <w:t>s</w:t>
      </w:r>
      <w:r w:rsidRPr="00E56B4D">
        <w:rPr>
          <w:rFonts w:ascii="Century Schoolbook" w:hAnsi="Century Schoolbook" w:cs="Times New Roman"/>
        </w:rPr>
        <w:t xml:space="preserve"> </w:t>
      </w:r>
      <w:r w:rsidR="00D35E78">
        <w:rPr>
          <w:rFonts w:ascii="Century Schoolbook" w:hAnsi="Century Schoolbook" w:cs="Times New Roman"/>
        </w:rPr>
        <w:t xml:space="preserve">scope and </w:t>
      </w:r>
      <w:r w:rsidRPr="00E56B4D">
        <w:rPr>
          <w:rFonts w:ascii="Century Schoolbook" w:hAnsi="Century Schoolbook" w:cs="Times New Roman"/>
        </w:rPr>
        <w:t xml:space="preserve">the </w:t>
      </w:r>
      <w:r w:rsidR="00F27314">
        <w:rPr>
          <w:rFonts w:ascii="Century Schoolbook" w:hAnsi="Century Schoolbook" w:cs="Times New Roman"/>
        </w:rPr>
        <w:t xml:space="preserve">number </w:t>
      </w:r>
      <w:r w:rsidRPr="00E56B4D">
        <w:rPr>
          <w:rFonts w:ascii="Century Schoolbook" w:hAnsi="Century Schoolbook" w:cs="Times New Roman"/>
        </w:rPr>
        <w:t xml:space="preserve">courts it </w:t>
      </w:r>
      <w:r w:rsidR="00F27314" w:rsidRPr="00E56B4D">
        <w:rPr>
          <w:rFonts w:ascii="Century Schoolbook" w:hAnsi="Century Schoolbook" w:cs="Times New Roman"/>
        </w:rPr>
        <w:t>covers</w:t>
      </w:r>
      <w:r w:rsidR="00F27314">
        <w:rPr>
          <w:rFonts w:ascii="Century Schoolbook" w:hAnsi="Century Schoolbook" w:cs="Times New Roman"/>
        </w:rPr>
        <w:t>;</w:t>
      </w:r>
      <w:r w:rsidR="00AB314D">
        <w:rPr>
          <w:rFonts w:ascii="Century Schoolbook" w:hAnsi="Century Schoolbook" w:cs="Times New Roman"/>
        </w:rPr>
        <w:t xml:space="preserve"> </w:t>
      </w:r>
      <w:r w:rsidR="00D35E78">
        <w:rPr>
          <w:rFonts w:ascii="Century Schoolbook" w:hAnsi="Century Schoolbook" w:cs="Times New Roman"/>
        </w:rPr>
        <w:t>it now even includes</w:t>
      </w:r>
      <w:r w:rsidR="00AB314D">
        <w:rPr>
          <w:rFonts w:ascii="Century Schoolbook" w:hAnsi="Century Schoolbook" w:cs="Times New Roman"/>
        </w:rPr>
        <w:t xml:space="preserve"> </w:t>
      </w:r>
      <w:r w:rsidRPr="00E56B4D">
        <w:rPr>
          <w:rFonts w:ascii="Century Schoolbook" w:hAnsi="Century Schoolbook" w:cs="Times New Roman"/>
        </w:rPr>
        <w:t>digital audio recordings of court proceedings</w:t>
      </w:r>
      <w:r w:rsidR="00AB314D">
        <w:rPr>
          <w:rFonts w:ascii="Century Schoolbook" w:hAnsi="Century Schoolbook" w:cs="Times New Roman"/>
        </w:rPr>
        <w:t>.</w:t>
      </w:r>
      <w:r w:rsidR="00AB314D">
        <w:rPr>
          <w:rStyle w:val="EndnoteReference"/>
          <w:rFonts w:ascii="Century Schoolbook" w:hAnsi="Century Schoolbook" w:cs="Times New Roman"/>
        </w:rPr>
        <w:endnoteReference w:id="22"/>
      </w:r>
      <w:r w:rsidRPr="00E56B4D">
        <w:rPr>
          <w:rFonts w:ascii="Century Schoolbook" w:hAnsi="Century Schoolbook" w:cs="Times New Roman"/>
        </w:rPr>
        <w:t xml:space="preserve"> </w:t>
      </w:r>
      <w:r w:rsidR="00AB314D">
        <w:rPr>
          <w:rFonts w:ascii="Century Schoolbook" w:hAnsi="Century Schoolbook" w:cs="Times New Roman"/>
        </w:rPr>
        <w:t xml:space="preserve"> </w:t>
      </w:r>
      <w:r w:rsidR="008F4BF6">
        <w:rPr>
          <w:rFonts w:ascii="Century Schoolbook" w:hAnsi="Century Schoolbook" w:cs="Times New Roman"/>
        </w:rPr>
        <w:t>There is no doubt that the</w:t>
      </w:r>
      <w:r w:rsidR="006C23F5" w:rsidRPr="00E56B4D">
        <w:rPr>
          <w:rFonts w:ascii="Century Schoolbook" w:hAnsi="Century Schoolbook" w:cs="Times New Roman"/>
        </w:rPr>
        <w:t xml:space="preserve"> scope and size of PACER</w:t>
      </w:r>
      <w:r w:rsidR="008F4BF6">
        <w:rPr>
          <w:rFonts w:ascii="Century Schoolbook" w:hAnsi="Century Schoolbook" w:cs="Times New Roman"/>
        </w:rPr>
        <w:t>’s</w:t>
      </w:r>
      <w:r w:rsidR="006C23F5" w:rsidRPr="00E56B4D">
        <w:rPr>
          <w:rFonts w:ascii="Century Schoolbook" w:hAnsi="Century Schoolbook" w:cs="Times New Roman"/>
        </w:rPr>
        <w:t xml:space="preserve"> </w:t>
      </w:r>
      <w:r w:rsidR="008F4BF6">
        <w:rPr>
          <w:rFonts w:ascii="Century Schoolbook" w:hAnsi="Century Schoolbook" w:cs="Times New Roman"/>
        </w:rPr>
        <w:t>data is increasing</w:t>
      </w:r>
      <w:r w:rsidR="007E3A99">
        <w:rPr>
          <w:rFonts w:ascii="Century Schoolbook" w:hAnsi="Century Schoolbook" w:cs="Times New Roman"/>
        </w:rPr>
        <w:t>, and also the ability to run analytics across the data</w:t>
      </w:r>
      <w:r w:rsidR="006C23F5" w:rsidRPr="00A502D6">
        <w:rPr>
          <w:rFonts w:ascii="Century Schoolbook" w:hAnsi="Century Schoolbook" w:cs="Times New Roman"/>
        </w:rPr>
        <w:t xml:space="preserve">.  </w:t>
      </w:r>
    </w:p>
    <w:p w:rsidR="00131144" w:rsidRPr="008B6C23" w:rsidRDefault="003834BC" w:rsidP="00A502D6">
      <w:pPr>
        <w:pStyle w:val="Text"/>
        <w:spacing w:before="100" w:beforeAutospacing="1" w:after="240"/>
        <w:jc w:val="both"/>
        <w:rPr>
          <w:rFonts w:ascii="Century Schoolbook" w:hAnsi="Century Schoolbook" w:cs="Times New Roman"/>
          <w:highlight w:val="yellow"/>
        </w:rPr>
      </w:pPr>
      <w:r>
        <w:rPr>
          <w:rFonts w:ascii="Century Schoolbook" w:hAnsi="Century Schoolbook" w:cs="Times New Roman"/>
        </w:rPr>
        <w:t>While agencies and courts have access to this data, o</w:t>
      </w:r>
      <w:r w:rsidR="00A502D6" w:rsidRPr="00A502D6">
        <w:rPr>
          <w:rFonts w:ascii="Century Schoolbook" w:hAnsi="Century Schoolbook" w:cs="Times New Roman"/>
        </w:rPr>
        <w:t xml:space="preserve">ne barrier </w:t>
      </w:r>
      <w:r>
        <w:rPr>
          <w:rFonts w:ascii="Century Schoolbook" w:hAnsi="Century Schoolbook" w:cs="Times New Roman"/>
        </w:rPr>
        <w:t xml:space="preserve">for </w:t>
      </w:r>
      <w:r w:rsidR="00416753">
        <w:rPr>
          <w:rFonts w:ascii="Century Schoolbook" w:hAnsi="Century Schoolbook" w:cs="Times New Roman"/>
        </w:rPr>
        <w:t xml:space="preserve">the public </w:t>
      </w:r>
      <w:r w:rsidR="007E3A99">
        <w:rPr>
          <w:rFonts w:ascii="Century Schoolbook" w:hAnsi="Century Schoolbook" w:cs="Times New Roman"/>
        </w:rPr>
        <w:t xml:space="preserve">on </w:t>
      </w:r>
      <w:r w:rsidR="00D35E78">
        <w:rPr>
          <w:rFonts w:ascii="Century Schoolbook" w:hAnsi="Century Schoolbook" w:cs="Times New Roman"/>
        </w:rPr>
        <w:t>the PACER system is the costs of retrieval</w:t>
      </w:r>
      <w:r w:rsidR="00A502D6" w:rsidRPr="00A502D6">
        <w:rPr>
          <w:rFonts w:ascii="Century Schoolbook" w:hAnsi="Century Schoolbook" w:cs="Times New Roman"/>
        </w:rPr>
        <w:t xml:space="preserve">, </w:t>
      </w:r>
      <w:r w:rsidR="00641429" w:rsidRPr="00A502D6">
        <w:rPr>
          <w:rFonts w:ascii="Century Schoolbook" w:hAnsi="Century Schoolbook" w:cs="Times New Roman"/>
        </w:rPr>
        <w:t>where it is currently about $0.08 per page.</w:t>
      </w:r>
      <w:r w:rsidR="00641429" w:rsidRPr="00A502D6">
        <w:rPr>
          <w:rStyle w:val="EndnoteReference"/>
          <w:rFonts w:ascii="Century Schoolbook" w:hAnsi="Century Schoolbook" w:cs="Times New Roman"/>
        </w:rPr>
        <w:endnoteReference w:id="23"/>
      </w:r>
      <w:r w:rsidR="00641429" w:rsidRPr="00A502D6">
        <w:rPr>
          <w:rFonts w:ascii="Century Schoolbook" w:hAnsi="Century Schoolbook" w:cs="Times New Roman"/>
        </w:rPr>
        <w:t xml:space="preserve">  To do an accurate, data analysis on judicial proceeding</w:t>
      </w:r>
      <w:r w:rsidR="00D35E78">
        <w:rPr>
          <w:rFonts w:ascii="Century Schoolbook" w:hAnsi="Century Schoolbook" w:cs="Times New Roman"/>
        </w:rPr>
        <w:t>s</w:t>
      </w:r>
      <w:r w:rsidR="00641429" w:rsidRPr="00A502D6">
        <w:rPr>
          <w:rFonts w:ascii="Century Schoolbook" w:hAnsi="Century Schoolbook" w:cs="Times New Roman"/>
        </w:rPr>
        <w:t xml:space="preserve"> in PACER, </w:t>
      </w:r>
      <w:r w:rsidR="0031637C" w:rsidRPr="00A502D6">
        <w:rPr>
          <w:rFonts w:ascii="Century Schoolbook" w:hAnsi="Century Schoolbook" w:cs="Times New Roman"/>
        </w:rPr>
        <w:t xml:space="preserve">a </w:t>
      </w:r>
      <w:r w:rsidR="00641429" w:rsidRPr="00A502D6">
        <w:rPr>
          <w:rFonts w:ascii="Century Schoolbook" w:hAnsi="Century Schoolbook" w:cs="Times New Roman"/>
        </w:rPr>
        <w:t xml:space="preserve">statistician would need to run an analysis across many cases.  The amount of data </w:t>
      </w:r>
      <w:r w:rsidR="0031637C" w:rsidRPr="00A502D6">
        <w:rPr>
          <w:rFonts w:ascii="Century Schoolbook" w:hAnsi="Century Schoolbook" w:cs="Times New Roman"/>
        </w:rPr>
        <w:t xml:space="preserve">and documents </w:t>
      </w:r>
      <w:r w:rsidR="00641429" w:rsidRPr="00A502D6">
        <w:rPr>
          <w:rFonts w:ascii="Century Schoolbook" w:hAnsi="Century Schoolbook" w:cs="Times New Roman"/>
        </w:rPr>
        <w:t xml:space="preserve">needed to make </w:t>
      </w:r>
      <w:r w:rsidR="0031637C" w:rsidRPr="00A502D6">
        <w:rPr>
          <w:rFonts w:ascii="Century Schoolbook" w:hAnsi="Century Schoolbook" w:cs="Times New Roman"/>
        </w:rPr>
        <w:t xml:space="preserve">such </w:t>
      </w:r>
      <w:r w:rsidR="00641429" w:rsidRPr="00A502D6">
        <w:rPr>
          <w:rFonts w:ascii="Century Schoolbook" w:hAnsi="Century Schoolbook" w:cs="Times New Roman"/>
        </w:rPr>
        <w:t>a statistical analysis</w:t>
      </w:r>
      <w:r w:rsidR="0031637C" w:rsidRPr="00A502D6">
        <w:rPr>
          <w:rFonts w:ascii="Century Schoolbook" w:hAnsi="Century Schoolbook" w:cs="Times New Roman"/>
        </w:rPr>
        <w:t xml:space="preserve"> would require a high fee for the pulling of many documents</w:t>
      </w:r>
      <w:r w:rsidR="00A502D6" w:rsidRPr="00A502D6">
        <w:rPr>
          <w:rFonts w:ascii="Century Schoolbook" w:hAnsi="Century Schoolbook" w:cs="Times New Roman"/>
        </w:rPr>
        <w:t xml:space="preserve"> and </w:t>
      </w:r>
      <w:r w:rsidR="00641429" w:rsidRPr="00A502D6">
        <w:rPr>
          <w:rFonts w:ascii="Century Schoolbook" w:hAnsi="Century Schoolbook" w:cs="Times New Roman"/>
        </w:rPr>
        <w:t xml:space="preserve">exclude those individuals and </w:t>
      </w:r>
      <w:r w:rsidR="00A502D6" w:rsidRPr="00A502D6">
        <w:rPr>
          <w:rFonts w:ascii="Century Schoolbook" w:hAnsi="Century Schoolbook" w:cs="Times New Roman"/>
        </w:rPr>
        <w:t xml:space="preserve">entities with </w:t>
      </w:r>
      <w:r w:rsidR="00641429" w:rsidRPr="00A502D6">
        <w:rPr>
          <w:rFonts w:ascii="Century Schoolbook" w:hAnsi="Century Schoolbook" w:cs="Times New Roman"/>
        </w:rPr>
        <w:t>little resources.</w:t>
      </w:r>
      <w:r w:rsidR="000646BD" w:rsidRPr="007E3A99">
        <w:rPr>
          <w:rFonts w:ascii="Century Schoolbook" w:hAnsi="Century Schoolbook" w:cs="Times New Roman"/>
        </w:rPr>
        <w:t xml:space="preserve"> </w:t>
      </w:r>
    </w:p>
    <w:p w:rsidR="00641429" w:rsidRPr="00E56B4D" w:rsidRDefault="00A502D6"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t>Several t</w:t>
      </w:r>
      <w:r w:rsidR="008D76F1">
        <w:rPr>
          <w:rFonts w:ascii="Century Schoolbook" w:hAnsi="Century Schoolbook" w:cs="Times New Roman"/>
        </w:rPr>
        <w:t xml:space="preserve">hird-party organizations have been </w:t>
      </w:r>
      <w:r>
        <w:rPr>
          <w:rFonts w:ascii="Century Schoolbook" w:hAnsi="Century Schoolbook" w:cs="Times New Roman"/>
        </w:rPr>
        <w:t xml:space="preserve">going around </w:t>
      </w:r>
      <w:r w:rsidR="009832FE">
        <w:rPr>
          <w:rFonts w:ascii="Century Schoolbook" w:hAnsi="Century Schoolbook" w:cs="Times New Roman"/>
        </w:rPr>
        <w:t xml:space="preserve">the cost </w:t>
      </w:r>
      <w:r>
        <w:rPr>
          <w:rFonts w:ascii="Century Schoolbook" w:hAnsi="Century Schoolbook" w:cs="Times New Roman"/>
        </w:rPr>
        <w:t xml:space="preserve">barrier by </w:t>
      </w:r>
      <w:r w:rsidR="00641429" w:rsidRPr="00E56B4D">
        <w:rPr>
          <w:rFonts w:ascii="Century Schoolbook" w:hAnsi="Century Schoolbook" w:cs="Times New Roman"/>
        </w:rPr>
        <w:t xml:space="preserve">harnessing group </w:t>
      </w:r>
      <w:r w:rsidR="004F01E0" w:rsidRPr="00E56B4D">
        <w:rPr>
          <w:rFonts w:ascii="Century Schoolbook" w:hAnsi="Century Schoolbook" w:cs="Times New Roman"/>
        </w:rPr>
        <w:t>processing</w:t>
      </w:r>
      <w:r w:rsidR="00641429" w:rsidRPr="00E56B4D">
        <w:rPr>
          <w:rFonts w:ascii="Century Schoolbook" w:hAnsi="Century Schoolbook" w:cs="Times New Roman"/>
        </w:rPr>
        <w:t xml:space="preserve">.  One company </w:t>
      </w:r>
      <w:r w:rsidR="004F01E0" w:rsidRPr="00E56B4D">
        <w:rPr>
          <w:rFonts w:ascii="Century Schoolbook" w:hAnsi="Century Schoolbook" w:cs="Times New Roman"/>
        </w:rPr>
        <w:t xml:space="preserve">that follows this formula is </w:t>
      </w:r>
      <w:r w:rsidR="000E2AC1" w:rsidRPr="00E56B4D">
        <w:rPr>
          <w:rFonts w:ascii="Century Schoolbook" w:hAnsi="Century Schoolbook" w:cs="Times New Roman"/>
        </w:rPr>
        <w:t>RECAP,</w:t>
      </w:r>
      <w:r w:rsidR="00641429" w:rsidRPr="00E56B4D">
        <w:rPr>
          <w:rFonts w:ascii="Century Schoolbook" w:hAnsi="Century Schoolbook" w:cs="Times New Roman"/>
        </w:rPr>
        <w:t xml:space="preserve"> which provides a Firefox </w:t>
      </w:r>
      <w:r w:rsidR="002959AB">
        <w:rPr>
          <w:rFonts w:ascii="Century Schoolbook" w:hAnsi="Century Schoolbook" w:cs="Times New Roman"/>
        </w:rPr>
        <w:t xml:space="preserve">browser </w:t>
      </w:r>
      <w:r w:rsidR="00641429" w:rsidRPr="00E56B4D">
        <w:rPr>
          <w:rFonts w:ascii="Century Schoolbook" w:hAnsi="Century Schoolbook" w:cs="Times New Roman"/>
        </w:rPr>
        <w:t xml:space="preserve">plug-in </w:t>
      </w:r>
      <w:r w:rsidR="004F01E0" w:rsidRPr="00E56B4D">
        <w:rPr>
          <w:rFonts w:ascii="Century Schoolbook" w:hAnsi="Century Schoolbook" w:cs="Times New Roman"/>
        </w:rPr>
        <w:t>for users of the PACER system</w:t>
      </w:r>
      <w:r w:rsidR="002959AB">
        <w:rPr>
          <w:rFonts w:ascii="Century Schoolbook" w:hAnsi="Century Schoolbook" w:cs="Times New Roman"/>
        </w:rPr>
        <w:t xml:space="preserve">, tracking </w:t>
      </w:r>
      <w:r>
        <w:rPr>
          <w:rFonts w:ascii="Century Schoolbook" w:hAnsi="Century Schoolbook" w:cs="Times New Roman"/>
        </w:rPr>
        <w:t xml:space="preserve">PACER use </w:t>
      </w:r>
      <w:r w:rsidR="004F01E0" w:rsidRPr="00E56B4D">
        <w:rPr>
          <w:rFonts w:ascii="Century Schoolbook" w:hAnsi="Century Schoolbook" w:cs="Times New Roman"/>
        </w:rPr>
        <w:t>while they are searching PACER</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24"/>
      </w:r>
      <w:r w:rsidR="00131144" w:rsidRPr="00E56B4D">
        <w:rPr>
          <w:rFonts w:ascii="Century Schoolbook" w:hAnsi="Century Schoolbook" w:cs="Times New Roman"/>
        </w:rPr>
        <w:t xml:space="preserve">  </w:t>
      </w:r>
      <w:r w:rsidR="000646BD" w:rsidRPr="00E56B4D">
        <w:rPr>
          <w:rFonts w:ascii="Century Schoolbook" w:hAnsi="Century Schoolbook" w:cs="Times New Roman"/>
        </w:rPr>
        <w:t xml:space="preserve">Once the user has retrieved a </w:t>
      </w:r>
      <w:r w:rsidR="000646BD" w:rsidRPr="00E56B4D">
        <w:rPr>
          <w:rFonts w:ascii="Century Schoolbook" w:hAnsi="Century Schoolbook" w:cs="Times New Roman"/>
        </w:rPr>
        <w:lastRenderedPageBreak/>
        <w:t xml:space="preserve">document </w:t>
      </w:r>
      <w:r w:rsidR="009832FE">
        <w:rPr>
          <w:rFonts w:ascii="Century Schoolbook" w:hAnsi="Century Schoolbook" w:cs="Times New Roman"/>
        </w:rPr>
        <w:t xml:space="preserve">or data </w:t>
      </w:r>
      <w:r w:rsidR="000646BD" w:rsidRPr="00E56B4D">
        <w:rPr>
          <w:rFonts w:ascii="Century Schoolbook" w:hAnsi="Century Schoolbook" w:cs="Times New Roman"/>
        </w:rPr>
        <w:t xml:space="preserve">from </w:t>
      </w:r>
      <w:r w:rsidR="000E2AC1" w:rsidRPr="00E56B4D">
        <w:rPr>
          <w:rFonts w:ascii="Century Schoolbook" w:hAnsi="Century Schoolbook" w:cs="Times New Roman"/>
        </w:rPr>
        <w:t>PACER,</w:t>
      </w:r>
      <w:r w:rsidR="000646BD" w:rsidRPr="00E56B4D">
        <w:rPr>
          <w:rFonts w:ascii="Century Schoolbook" w:hAnsi="Century Schoolbook" w:cs="Times New Roman"/>
        </w:rPr>
        <w:t xml:space="preserve"> he </w:t>
      </w:r>
      <w:r w:rsidR="004F01E0" w:rsidRPr="00E56B4D">
        <w:rPr>
          <w:rFonts w:ascii="Century Schoolbook" w:hAnsi="Century Schoolbook" w:cs="Times New Roman"/>
        </w:rPr>
        <w:t xml:space="preserve">can submit the data and documents </w:t>
      </w:r>
      <w:r w:rsidR="00D076BF">
        <w:rPr>
          <w:rFonts w:ascii="Century Schoolbook" w:hAnsi="Century Schoolbook" w:cs="Times New Roman"/>
        </w:rPr>
        <w:t>into</w:t>
      </w:r>
      <w:r w:rsidR="000E2AC1" w:rsidRPr="00E56B4D">
        <w:rPr>
          <w:rFonts w:ascii="Century Schoolbook" w:hAnsi="Century Schoolbook" w:cs="Times New Roman"/>
        </w:rPr>
        <w:t xml:space="preserve"> </w:t>
      </w:r>
      <w:r w:rsidR="004F01E0" w:rsidRPr="00E56B4D">
        <w:rPr>
          <w:rFonts w:ascii="Century Schoolbook" w:hAnsi="Century Schoolbook" w:cs="Times New Roman"/>
        </w:rPr>
        <w:t xml:space="preserve">the </w:t>
      </w:r>
      <w:r w:rsidR="00641429" w:rsidRPr="00E56B4D">
        <w:rPr>
          <w:rFonts w:ascii="Century Schoolbook" w:hAnsi="Century Schoolbook" w:cs="Times New Roman"/>
        </w:rPr>
        <w:t>RECAP repository.</w:t>
      </w:r>
      <w:r w:rsidR="00641429" w:rsidRPr="00E56B4D">
        <w:rPr>
          <w:rStyle w:val="EndnoteReference"/>
          <w:rFonts w:ascii="Century Schoolbook" w:hAnsi="Century Schoolbook" w:cs="Times New Roman"/>
        </w:rPr>
        <w:endnoteReference w:id="25"/>
      </w:r>
      <w:r w:rsidR="00641429" w:rsidRPr="00E56B4D">
        <w:rPr>
          <w:rFonts w:ascii="Century Schoolbook" w:hAnsi="Century Schoolbook" w:cs="Times New Roman"/>
        </w:rPr>
        <w:t xml:space="preserve">  </w:t>
      </w:r>
      <w:r w:rsidR="00D35E78">
        <w:rPr>
          <w:rFonts w:ascii="Century Schoolbook" w:hAnsi="Century Schoolbook" w:cs="Times New Roman"/>
        </w:rPr>
        <w:t xml:space="preserve">This data </w:t>
      </w:r>
      <w:r w:rsidR="000646BD" w:rsidRPr="00E56B4D">
        <w:rPr>
          <w:rFonts w:ascii="Century Schoolbook" w:hAnsi="Century Schoolbook" w:cs="Times New Roman"/>
        </w:rPr>
        <w:t>will be available for future users</w:t>
      </w:r>
      <w:r w:rsidR="000E2AC1" w:rsidRPr="00E56B4D">
        <w:rPr>
          <w:rFonts w:ascii="Century Schoolbook" w:hAnsi="Century Schoolbook" w:cs="Times New Roman"/>
        </w:rPr>
        <w:t>,</w:t>
      </w:r>
      <w:r w:rsidR="004F01E0" w:rsidRPr="00E56B4D">
        <w:rPr>
          <w:rFonts w:ascii="Century Schoolbook" w:hAnsi="Century Schoolbook" w:cs="Times New Roman"/>
        </w:rPr>
        <w:t xml:space="preserve"> </w:t>
      </w:r>
      <w:r w:rsidR="000646BD" w:rsidRPr="00E56B4D">
        <w:rPr>
          <w:rFonts w:ascii="Century Schoolbook" w:hAnsi="Century Schoolbook" w:cs="Times New Roman"/>
        </w:rPr>
        <w:t xml:space="preserve">and </w:t>
      </w:r>
      <w:r w:rsidR="004F01E0" w:rsidRPr="00E56B4D">
        <w:rPr>
          <w:rFonts w:ascii="Century Schoolbook" w:hAnsi="Century Schoolbook" w:cs="Times New Roman"/>
        </w:rPr>
        <w:t xml:space="preserve">RECAP </w:t>
      </w:r>
      <w:r w:rsidR="000646BD" w:rsidRPr="00E56B4D">
        <w:rPr>
          <w:rFonts w:ascii="Century Schoolbook" w:hAnsi="Century Schoolbook" w:cs="Times New Roman"/>
        </w:rPr>
        <w:t xml:space="preserve">will indicate that they are in the </w:t>
      </w:r>
      <w:r w:rsidR="004F01E0" w:rsidRPr="00E56B4D">
        <w:rPr>
          <w:rFonts w:ascii="Century Schoolbook" w:hAnsi="Century Schoolbook" w:cs="Times New Roman"/>
        </w:rPr>
        <w:t xml:space="preserve">repository </w:t>
      </w:r>
      <w:r w:rsidR="006C23F5" w:rsidRPr="00E56B4D">
        <w:rPr>
          <w:rFonts w:ascii="Century Schoolbook" w:hAnsi="Century Schoolbook" w:cs="Times New Roman"/>
        </w:rPr>
        <w:t xml:space="preserve">and can be </w:t>
      </w:r>
      <w:r w:rsidR="000646BD" w:rsidRPr="00E56B4D">
        <w:rPr>
          <w:rFonts w:ascii="Century Schoolbook" w:hAnsi="Century Schoolbook" w:cs="Times New Roman"/>
        </w:rPr>
        <w:t xml:space="preserve">pulled for </w:t>
      </w:r>
      <w:r w:rsidR="004F01E0" w:rsidRPr="00E56B4D">
        <w:rPr>
          <w:rFonts w:ascii="Century Schoolbook" w:hAnsi="Century Schoolbook" w:cs="Times New Roman"/>
        </w:rPr>
        <w:t>free</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26"/>
      </w:r>
      <w:r w:rsidR="00641429" w:rsidRPr="00E56B4D">
        <w:rPr>
          <w:rFonts w:ascii="Century Schoolbook" w:hAnsi="Century Schoolbook" w:cs="Times New Roman"/>
        </w:rPr>
        <w:t xml:space="preserve">  </w:t>
      </w:r>
      <w:r>
        <w:rPr>
          <w:rFonts w:ascii="Century Schoolbook" w:hAnsi="Century Schoolbook" w:cs="Times New Roman"/>
        </w:rPr>
        <w:t xml:space="preserve">The group processing </w:t>
      </w:r>
      <w:r w:rsidR="00131144" w:rsidRPr="00E56B4D">
        <w:rPr>
          <w:rFonts w:ascii="Century Schoolbook" w:hAnsi="Century Schoolbook" w:cs="Times New Roman"/>
        </w:rPr>
        <w:t xml:space="preserve">method </w:t>
      </w:r>
      <w:r w:rsidR="00B23CA3">
        <w:rPr>
          <w:rFonts w:ascii="Century Schoolbook" w:hAnsi="Century Schoolbook" w:cs="Times New Roman"/>
        </w:rPr>
        <w:t xml:space="preserve">will become more common </w:t>
      </w:r>
      <w:r w:rsidR="00D35E78">
        <w:rPr>
          <w:rFonts w:ascii="Century Schoolbook" w:hAnsi="Century Schoolbook" w:cs="Times New Roman"/>
        </w:rPr>
        <w:t xml:space="preserve">across other forms of judicial </w:t>
      </w:r>
      <w:r w:rsidR="002959AB">
        <w:rPr>
          <w:rFonts w:ascii="Century Schoolbook" w:hAnsi="Century Schoolbook" w:cs="Times New Roman"/>
        </w:rPr>
        <w:t xml:space="preserve">and governmental </w:t>
      </w:r>
      <w:r w:rsidR="00D35E78">
        <w:rPr>
          <w:rFonts w:ascii="Century Schoolbook" w:hAnsi="Century Schoolbook" w:cs="Times New Roman"/>
        </w:rPr>
        <w:t xml:space="preserve">data </w:t>
      </w:r>
      <w:r w:rsidR="00B23CA3">
        <w:rPr>
          <w:rFonts w:ascii="Century Schoolbook" w:hAnsi="Century Schoolbook" w:cs="Times New Roman"/>
        </w:rPr>
        <w:t>due to</w:t>
      </w:r>
      <w:r w:rsidR="00D076BF">
        <w:rPr>
          <w:rFonts w:ascii="Century Schoolbook" w:hAnsi="Century Schoolbook" w:cs="Times New Roman"/>
        </w:rPr>
        <w:t xml:space="preserve"> </w:t>
      </w:r>
      <w:r w:rsidR="00D35E78">
        <w:rPr>
          <w:rFonts w:ascii="Century Schoolbook" w:hAnsi="Century Schoolbook" w:cs="Times New Roman"/>
        </w:rPr>
        <w:t xml:space="preserve">the </w:t>
      </w:r>
      <w:r w:rsidR="002959AB">
        <w:rPr>
          <w:rFonts w:ascii="Century Schoolbook" w:hAnsi="Century Schoolbook" w:cs="Times New Roman"/>
        </w:rPr>
        <w:t xml:space="preserve">cost </w:t>
      </w:r>
      <w:r w:rsidR="00131144" w:rsidRPr="00E56B4D">
        <w:rPr>
          <w:rFonts w:ascii="Century Schoolbook" w:hAnsi="Century Schoolbook" w:cs="Times New Roman"/>
        </w:rPr>
        <w:t xml:space="preserve">barriers </w:t>
      </w:r>
      <w:r w:rsidR="00D35E78">
        <w:rPr>
          <w:rFonts w:ascii="Century Schoolbook" w:hAnsi="Century Schoolbook" w:cs="Times New Roman"/>
        </w:rPr>
        <w:t xml:space="preserve">of </w:t>
      </w:r>
      <w:r w:rsidR="00131144" w:rsidRPr="00E56B4D">
        <w:rPr>
          <w:rFonts w:ascii="Century Schoolbook" w:hAnsi="Century Schoolbook" w:cs="Times New Roman"/>
        </w:rPr>
        <w:t xml:space="preserve">public </w:t>
      </w:r>
      <w:r w:rsidR="002959AB">
        <w:rPr>
          <w:rFonts w:ascii="Century Schoolbook" w:hAnsi="Century Schoolbook" w:cs="Times New Roman"/>
        </w:rPr>
        <w:t>access</w:t>
      </w:r>
      <w:r w:rsidR="000E2AC1" w:rsidRPr="00E56B4D">
        <w:rPr>
          <w:rFonts w:ascii="Century Schoolbook" w:hAnsi="Century Schoolbook" w:cs="Times New Roman"/>
        </w:rPr>
        <w:t xml:space="preserve">. </w:t>
      </w:r>
      <w:r w:rsidR="00131144" w:rsidRPr="00E56B4D">
        <w:rPr>
          <w:rFonts w:ascii="Century Schoolbook" w:hAnsi="Century Schoolbook" w:cs="Times New Roman"/>
        </w:rPr>
        <w:t xml:space="preserve"> </w:t>
      </w:r>
    </w:p>
    <w:p w:rsidR="00641429" w:rsidRPr="00E56B4D" w:rsidRDefault="00C708D0"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t>Individual organizations have been recreating the governmental and judicial data</w:t>
      </w:r>
      <w:r w:rsidR="004F01E0" w:rsidRPr="00E56B4D">
        <w:rPr>
          <w:rFonts w:ascii="Century Schoolbook" w:hAnsi="Century Schoolbook" w:cs="Times New Roman"/>
        </w:rPr>
        <w:t xml:space="preserve">.  </w:t>
      </w:r>
      <w:r w:rsidR="002959AB">
        <w:rPr>
          <w:rFonts w:ascii="Century Schoolbook" w:hAnsi="Century Schoolbook" w:cs="Times New Roman"/>
        </w:rPr>
        <w:t xml:space="preserve">This paper previously noted </w:t>
      </w:r>
      <w:r w:rsidR="00641429" w:rsidRPr="00E56B4D">
        <w:rPr>
          <w:rFonts w:ascii="Century Schoolbook" w:hAnsi="Century Schoolbook" w:cs="Times New Roman"/>
        </w:rPr>
        <w:t xml:space="preserve">the Supreme Court Database </w:t>
      </w:r>
      <w:r w:rsidR="00B23CA3">
        <w:rPr>
          <w:rFonts w:ascii="Century Schoolbook" w:hAnsi="Century Schoolbook" w:cs="Times New Roman"/>
        </w:rPr>
        <w:t>that predicted judicial outcomes</w:t>
      </w:r>
      <w:r w:rsidR="00641429" w:rsidRPr="00E56B4D">
        <w:rPr>
          <w:rFonts w:ascii="Century Schoolbook" w:hAnsi="Century Schoolbook" w:cs="Times New Roman"/>
        </w:rPr>
        <w:t xml:space="preserve">.  </w:t>
      </w:r>
      <w:r w:rsidR="000646BD" w:rsidRPr="00E56B4D">
        <w:rPr>
          <w:rFonts w:ascii="Century Schoolbook" w:hAnsi="Century Schoolbook" w:cs="Times New Roman"/>
        </w:rPr>
        <w:t>Volunteers to the Supreme Court D</w:t>
      </w:r>
      <w:r w:rsidR="004F01E0" w:rsidRPr="00E56B4D">
        <w:rPr>
          <w:rFonts w:ascii="Century Schoolbook" w:hAnsi="Century Schoolbook" w:cs="Times New Roman"/>
        </w:rPr>
        <w:t xml:space="preserve">atabase take court opinions and translate them into variables that can be used </w:t>
      </w:r>
      <w:r w:rsidR="000646BD" w:rsidRPr="00E56B4D">
        <w:rPr>
          <w:rFonts w:ascii="Century Schoolbook" w:hAnsi="Century Schoolbook" w:cs="Times New Roman"/>
        </w:rPr>
        <w:t>for</w:t>
      </w:r>
      <w:r w:rsidR="004F01E0" w:rsidRPr="00E56B4D">
        <w:rPr>
          <w:rFonts w:ascii="Century Schoolbook" w:hAnsi="Century Schoolbook" w:cs="Times New Roman"/>
        </w:rPr>
        <w:t xml:space="preserve"> data-mining and statistical analysis.  </w:t>
      </w:r>
      <w:r w:rsidR="000646BD" w:rsidRPr="00E56B4D">
        <w:rPr>
          <w:rFonts w:ascii="Century Schoolbook" w:hAnsi="Century Schoolbook" w:cs="Times New Roman"/>
        </w:rPr>
        <w:t xml:space="preserve">They are </w:t>
      </w:r>
      <w:r w:rsidR="002F14C6">
        <w:rPr>
          <w:rFonts w:ascii="Century Schoolbook" w:hAnsi="Century Schoolbook" w:cs="Times New Roman"/>
        </w:rPr>
        <w:t xml:space="preserve">essentially </w:t>
      </w:r>
      <w:r w:rsidR="000646BD" w:rsidRPr="00E56B4D">
        <w:rPr>
          <w:rFonts w:ascii="Century Schoolbook" w:hAnsi="Century Schoolbook" w:cs="Times New Roman"/>
        </w:rPr>
        <w:t xml:space="preserve">recreating </w:t>
      </w:r>
      <w:r w:rsidR="002F14C6">
        <w:rPr>
          <w:rFonts w:ascii="Century Schoolbook" w:hAnsi="Century Schoolbook" w:cs="Times New Roman"/>
        </w:rPr>
        <w:t xml:space="preserve">the </w:t>
      </w:r>
      <w:r w:rsidR="00DB0F5D">
        <w:rPr>
          <w:rFonts w:ascii="Century Schoolbook" w:hAnsi="Century Schoolbook" w:cs="Times New Roman"/>
        </w:rPr>
        <w:t>court and litigation</w:t>
      </w:r>
      <w:r w:rsidR="002F14C6">
        <w:rPr>
          <w:rFonts w:ascii="Century Schoolbook" w:hAnsi="Century Schoolbook" w:cs="Times New Roman"/>
        </w:rPr>
        <w:t xml:space="preserve"> data</w:t>
      </w:r>
      <w:r w:rsidR="000646BD" w:rsidRPr="00E56B4D">
        <w:rPr>
          <w:rFonts w:ascii="Century Schoolbook" w:hAnsi="Century Schoolbook" w:cs="Times New Roman"/>
        </w:rPr>
        <w:t xml:space="preserve">.  </w:t>
      </w:r>
      <w:r w:rsidR="004F01E0" w:rsidRPr="00E56B4D">
        <w:rPr>
          <w:rFonts w:ascii="Century Schoolbook" w:hAnsi="Century Schoolbook" w:cs="Times New Roman"/>
        </w:rPr>
        <w:t>With the expansion of</w:t>
      </w:r>
      <w:r w:rsidR="001C5194">
        <w:rPr>
          <w:rFonts w:ascii="Century Schoolbook" w:hAnsi="Century Schoolbook" w:cs="Times New Roman"/>
        </w:rPr>
        <w:t xml:space="preserve"> technology</w:t>
      </w:r>
      <w:r w:rsidR="002F14C6">
        <w:rPr>
          <w:rFonts w:ascii="Century Schoolbook" w:hAnsi="Century Schoolbook" w:cs="Times New Roman"/>
        </w:rPr>
        <w:t xml:space="preserve"> </w:t>
      </w:r>
      <w:r w:rsidR="00D35E78">
        <w:rPr>
          <w:rFonts w:ascii="Century Schoolbook" w:hAnsi="Century Schoolbook" w:cs="Times New Roman"/>
        </w:rPr>
        <w:t>a lot of this work is being automated and</w:t>
      </w:r>
      <w:r w:rsidR="004F01E0" w:rsidRPr="00E56B4D">
        <w:rPr>
          <w:rFonts w:ascii="Century Schoolbook" w:hAnsi="Century Schoolbook" w:cs="Times New Roman"/>
        </w:rPr>
        <w:t xml:space="preserve"> more of these organizations </w:t>
      </w:r>
      <w:r w:rsidR="00B23CA3">
        <w:rPr>
          <w:rFonts w:ascii="Century Schoolbook" w:hAnsi="Century Schoolbook" w:cs="Times New Roman"/>
        </w:rPr>
        <w:t xml:space="preserve">will create </w:t>
      </w:r>
      <w:r w:rsidR="00D076BF">
        <w:rPr>
          <w:rFonts w:ascii="Century Schoolbook" w:hAnsi="Century Schoolbook" w:cs="Times New Roman"/>
        </w:rPr>
        <w:t xml:space="preserve">their own </w:t>
      </w:r>
      <w:r w:rsidR="00B23CA3">
        <w:rPr>
          <w:rFonts w:ascii="Century Schoolbook" w:hAnsi="Century Schoolbook" w:cs="Times New Roman"/>
        </w:rPr>
        <w:t xml:space="preserve">judicial </w:t>
      </w:r>
      <w:r w:rsidR="00D076BF">
        <w:rPr>
          <w:rFonts w:ascii="Century Schoolbook" w:hAnsi="Century Schoolbook" w:cs="Times New Roman"/>
        </w:rPr>
        <w:t>data</w:t>
      </w:r>
      <w:r w:rsidR="004F01E0" w:rsidRPr="00E56B4D">
        <w:rPr>
          <w:rFonts w:ascii="Century Schoolbook" w:hAnsi="Century Schoolbook" w:cs="Times New Roman"/>
        </w:rPr>
        <w:t xml:space="preserve">.  </w:t>
      </w:r>
      <w:r w:rsidR="003028F8" w:rsidRPr="00E56B4D">
        <w:rPr>
          <w:rFonts w:ascii="Century Schoolbook" w:hAnsi="Century Schoolbook" w:cs="Times New Roman"/>
        </w:rPr>
        <w:t>In the legal field, l</w:t>
      </w:r>
      <w:r w:rsidR="004F01E0" w:rsidRPr="00E56B4D">
        <w:rPr>
          <w:rFonts w:ascii="Century Schoolbook" w:hAnsi="Century Schoolbook" w:cs="Times New Roman"/>
        </w:rPr>
        <w:t>arge</w:t>
      </w:r>
      <w:r w:rsidR="000646BD" w:rsidRPr="00E56B4D">
        <w:rPr>
          <w:rFonts w:ascii="Century Schoolbook" w:hAnsi="Century Schoolbook" w:cs="Times New Roman"/>
        </w:rPr>
        <w:t>r</w:t>
      </w:r>
      <w:r w:rsidR="004F01E0" w:rsidRPr="00E56B4D">
        <w:rPr>
          <w:rFonts w:ascii="Century Schoolbook" w:hAnsi="Century Schoolbook" w:cs="Times New Roman"/>
        </w:rPr>
        <w:t xml:space="preserve"> firms will be able to finance the creation of </w:t>
      </w:r>
      <w:r w:rsidR="00DB0F5D">
        <w:rPr>
          <w:rFonts w:ascii="Century Schoolbook" w:hAnsi="Century Schoolbook" w:cs="Times New Roman"/>
        </w:rPr>
        <w:t>court and litigation</w:t>
      </w:r>
      <w:r w:rsidR="004F01E0" w:rsidRPr="00E56B4D">
        <w:rPr>
          <w:rFonts w:ascii="Century Schoolbook" w:hAnsi="Century Schoolbook" w:cs="Times New Roman"/>
        </w:rPr>
        <w:t xml:space="preserve"> database</w:t>
      </w:r>
      <w:r w:rsidR="001C5194">
        <w:rPr>
          <w:rFonts w:ascii="Century Schoolbook" w:hAnsi="Century Schoolbook" w:cs="Times New Roman"/>
        </w:rPr>
        <w:t>s</w:t>
      </w:r>
      <w:r w:rsidR="00D076BF">
        <w:rPr>
          <w:rFonts w:ascii="Century Schoolbook" w:hAnsi="Century Schoolbook" w:cs="Times New Roman"/>
        </w:rPr>
        <w:t>,</w:t>
      </w:r>
      <w:r w:rsidR="004F01E0" w:rsidRPr="00E56B4D">
        <w:rPr>
          <w:rFonts w:ascii="Century Schoolbook" w:hAnsi="Century Schoolbook" w:cs="Times New Roman"/>
        </w:rPr>
        <w:t xml:space="preserve"> creating organizations that retool the </w:t>
      </w:r>
      <w:r w:rsidR="001C5194">
        <w:rPr>
          <w:rFonts w:ascii="Century Schoolbook" w:hAnsi="Century Schoolbook" w:cs="Times New Roman"/>
        </w:rPr>
        <w:t xml:space="preserve">public available judicial data </w:t>
      </w:r>
      <w:r w:rsidR="004F01E0" w:rsidRPr="00E56B4D">
        <w:rPr>
          <w:rFonts w:ascii="Century Schoolbook" w:hAnsi="Century Schoolbook" w:cs="Times New Roman"/>
        </w:rPr>
        <w:t xml:space="preserve">for their own private use.  </w:t>
      </w:r>
      <w:r w:rsidR="001C5194">
        <w:rPr>
          <w:rFonts w:ascii="Century Schoolbook" w:hAnsi="Century Schoolbook" w:cs="Times New Roman"/>
        </w:rPr>
        <w:t>T</w:t>
      </w:r>
      <w:r w:rsidR="00B56214">
        <w:rPr>
          <w:rFonts w:ascii="Century Schoolbook" w:hAnsi="Century Schoolbook" w:cs="Times New Roman"/>
        </w:rPr>
        <w:t xml:space="preserve">he freeing and creation of </w:t>
      </w:r>
      <w:r w:rsidR="000F4EA7">
        <w:rPr>
          <w:rFonts w:ascii="Century Schoolbook" w:hAnsi="Century Schoolbook" w:cs="Times New Roman"/>
        </w:rPr>
        <w:t xml:space="preserve">judicial </w:t>
      </w:r>
      <w:r w:rsidR="00B56214">
        <w:rPr>
          <w:rFonts w:ascii="Century Schoolbook" w:hAnsi="Century Schoolbook" w:cs="Times New Roman"/>
        </w:rPr>
        <w:t xml:space="preserve">databases </w:t>
      </w:r>
      <w:r w:rsidR="004F01E0" w:rsidRPr="00E56B4D">
        <w:rPr>
          <w:rFonts w:ascii="Century Schoolbook" w:hAnsi="Century Schoolbook" w:cs="Times New Roman"/>
        </w:rPr>
        <w:t xml:space="preserve">will </w:t>
      </w:r>
      <w:r w:rsidR="00EA6D72" w:rsidRPr="00E56B4D">
        <w:rPr>
          <w:rFonts w:ascii="Century Schoolbook" w:hAnsi="Century Schoolbook" w:cs="Times New Roman"/>
        </w:rPr>
        <w:t xml:space="preserve">probably </w:t>
      </w:r>
      <w:r w:rsidR="000F4EA7">
        <w:rPr>
          <w:rFonts w:ascii="Century Schoolbook" w:hAnsi="Century Schoolbook" w:cs="Times New Roman"/>
        </w:rPr>
        <w:t xml:space="preserve">be driven more by </w:t>
      </w:r>
      <w:r w:rsidR="00B23CA3">
        <w:rPr>
          <w:rFonts w:ascii="Century Schoolbook" w:hAnsi="Century Schoolbook" w:cs="Times New Roman"/>
        </w:rPr>
        <w:t xml:space="preserve">market </w:t>
      </w:r>
      <w:r w:rsidR="004F01E0" w:rsidRPr="00E56B4D">
        <w:rPr>
          <w:rFonts w:ascii="Century Schoolbook" w:hAnsi="Century Schoolbook" w:cs="Times New Roman"/>
        </w:rPr>
        <w:t>demand</w:t>
      </w:r>
      <w:r w:rsidR="000F4EA7">
        <w:rPr>
          <w:rFonts w:ascii="Century Schoolbook" w:hAnsi="Century Schoolbook" w:cs="Times New Roman"/>
        </w:rPr>
        <w:t>s</w:t>
      </w:r>
      <w:r w:rsidR="004F01E0" w:rsidRPr="00E56B4D">
        <w:rPr>
          <w:rFonts w:ascii="Century Schoolbook" w:hAnsi="Century Schoolbook" w:cs="Times New Roman"/>
        </w:rPr>
        <w:t xml:space="preserve"> than </w:t>
      </w:r>
      <w:r w:rsidR="00D076BF">
        <w:rPr>
          <w:rFonts w:ascii="Century Schoolbook" w:hAnsi="Century Schoolbook" w:cs="Times New Roman"/>
        </w:rPr>
        <w:t xml:space="preserve">a real </w:t>
      </w:r>
      <w:r w:rsidR="004F01E0" w:rsidRPr="00E56B4D">
        <w:rPr>
          <w:rFonts w:ascii="Century Schoolbook" w:hAnsi="Century Schoolbook" w:cs="Times New Roman"/>
        </w:rPr>
        <w:t>need for public access</w:t>
      </w:r>
      <w:r w:rsidR="00B56214">
        <w:rPr>
          <w:rFonts w:ascii="Century Schoolbook" w:hAnsi="Century Schoolbook" w:cs="Times New Roman"/>
        </w:rPr>
        <w:t xml:space="preserve"> without </w:t>
      </w:r>
      <w:r w:rsidR="001C5194">
        <w:rPr>
          <w:rFonts w:ascii="Century Schoolbook" w:hAnsi="Century Schoolbook" w:cs="Times New Roman"/>
        </w:rPr>
        <w:t xml:space="preserve">some kind of </w:t>
      </w:r>
      <w:r w:rsidR="00B23CA3">
        <w:rPr>
          <w:rFonts w:ascii="Century Schoolbook" w:hAnsi="Century Schoolbook" w:cs="Times New Roman"/>
        </w:rPr>
        <w:t xml:space="preserve">legislative </w:t>
      </w:r>
      <w:r w:rsidR="00B56214">
        <w:rPr>
          <w:rFonts w:ascii="Century Schoolbook" w:hAnsi="Century Schoolbook" w:cs="Times New Roman"/>
        </w:rPr>
        <w:t xml:space="preserve">controls on </w:t>
      </w:r>
      <w:r w:rsidR="00B23CA3">
        <w:rPr>
          <w:rFonts w:ascii="Century Schoolbook" w:hAnsi="Century Schoolbook" w:cs="Times New Roman"/>
        </w:rPr>
        <w:t>access</w:t>
      </w:r>
      <w:r w:rsidR="004F01E0" w:rsidRPr="00E56B4D">
        <w:rPr>
          <w:rFonts w:ascii="Century Schoolbook" w:hAnsi="Century Schoolbook" w:cs="Times New Roman"/>
        </w:rPr>
        <w:t>.</w:t>
      </w:r>
    </w:p>
    <w:p w:rsidR="00D076BF" w:rsidRPr="00D076BF" w:rsidRDefault="00641429" w:rsidP="00D076BF">
      <w:pPr>
        <w:pStyle w:val="Text"/>
        <w:spacing w:before="100" w:beforeAutospacing="1" w:after="240"/>
        <w:jc w:val="both"/>
        <w:rPr>
          <w:rFonts w:ascii="Century Schoolbook" w:hAnsi="Century Schoolbook" w:cs="Times New Roman"/>
          <w:vertAlign w:val="superscript"/>
        </w:rPr>
      </w:pPr>
      <w:r w:rsidRPr="00E56B4D">
        <w:rPr>
          <w:rFonts w:ascii="Century Schoolbook" w:hAnsi="Century Schoolbook" w:cs="Times New Roman"/>
        </w:rPr>
        <w:t xml:space="preserve">Federal Legislation has looked </w:t>
      </w:r>
      <w:r w:rsidR="001C5194">
        <w:rPr>
          <w:rFonts w:ascii="Century Schoolbook" w:hAnsi="Century Schoolbook" w:cs="Times New Roman"/>
        </w:rPr>
        <w:t xml:space="preserve">into the </w:t>
      </w:r>
      <w:r w:rsidR="00AE46A0">
        <w:rPr>
          <w:rFonts w:ascii="Century Schoolbook" w:hAnsi="Century Schoolbook" w:cs="Times New Roman"/>
        </w:rPr>
        <w:t xml:space="preserve">public </w:t>
      </w:r>
      <w:r w:rsidRPr="00E56B4D">
        <w:rPr>
          <w:rFonts w:ascii="Century Schoolbook" w:hAnsi="Century Schoolbook" w:cs="Times New Roman"/>
        </w:rPr>
        <w:t xml:space="preserve">access to </w:t>
      </w:r>
      <w:r w:rsidR="00947321">
        <w:rPr>
          <w:rFonts w:ascii="Century Schoolbook" w:hAnsi="Century Schoolbook" w:cs="Times New Roman"/>
        </w:rPr>
        <w:t xml:space="preserve">judicial </w:t>
      </w:r>
      <w:r w:rsidRPr="00E56B4D">
        <w:rPr>
          <w:rFonts w:ascii="Century Schoolbook" w:hAnsi="Century Schoolbook" w:cs="Times New Roman"/>
        </w:rPr>
        <w:t>data</w:t>
      </w:r>
      <w:r w:rsidR="00AE46A0">
        <w:rPr>
          <w:rFonts w:ascii="Century Schoolbook" w:hAnsi="Century Schoolbook" w:cs="Times New Roman"/>
        </w:rPr>
        <w:t>bases like PACER</w:t>
      </w:r>
      <w:r w:rsidRPr="00E56B4D">
        <w:rPr>
          <w:rFonts w:ascii="Century Schoolbook" w:hAnsi="Century Schoolbook" w:cs="Times New Roman"/>
        </w:rPr>
        <w:t xml:space="preserve">, but </w:t>
      </w:r>
      <w:r w:rsidR="00AE46A0">
        <w:rPr>
          <w:rFonts w:ascii="Century Schoolbook" w:hAnsi="Century Schoolbook" w:cs="Times New Roman"/>
        </w:rPr>
        <w:t xml:space="preserve">legislation has </w:t>
      </w:r>
      <w:r w:rsidRPr="00E56B4D">
        <w:rPr>
          <w:rFonts w:ascii="Century Schoolbook" w:hAnsi="Century Schoolbook" w:cs="Times New Roman"/>
        </w:rPr>
        <w:t>largely been inadequate.</w:t>
      </w:r>
      <w:r w:rsidRPr="00E56B4D">
        <w:rPr>
          <w:rStyle w:val="EndnoteReference"/>
          <w:rFonts w:ascii="Century Schoolbook" w:hAnsi="Century Schoolbook" w:cs="Times New Roman"/>
        </w:rPr>
        <w:endnoteReference w:id="27"/>
      </w:r>
      <w:r w:rsidRPr="00E56B4D">
        <w:rPr>
          <w:rFonts w:ascii="Century Schoolbook" w:hAnsi="Century Schoolbook" w:cs="Times New Roman"/>
        </w:rPr>
        <w:t xml:space="preserve">  For example, the E-Government Act of 2002 was an attempt to take government data and create requirement</w:t>
      </w:r>
      <w:r w:rsidR="00733B7C" w:rsidRPr="00E56B4D">
        <w:rPr>
          <w:rFonts w:ascii="Century Schoolbook" w:hAnsi="Century Schoolbook" w:cs="Times New Roman"/>
        </w:rPr>
        <w:t>s</w:t>
      </w:r>
      <w:r w:rsidRPr="00E56B4D">
        <w:rPr>
          <w:rFonts w:ascii="Century Schoolbook" w:hAnsi="Century Schoolbook" w:cs="Times New Roman"/>
        </w:rPr>
        <w:t xml:space="preserve"> that would </w:t>
      </w:r>
      <w:r w:rsidR="001C5194">
        <w:rPr>
          <w:rFonts w:ascii="Century Schoolbook" w:hAnsi="Century Schoolbook" w:cs="Times New Roman"/>
        </w:rPr>
        <w:t>facilitate</w:t>
      </w:r>
      <w:r w:rsidR="00733B7C" w:rsidRPr="00E56B4D">
        <w:rPr>
          <w:rFonts w:ascii="Century Schoolbook" w:hAnsi="Century Schoolbook" w:cs="Times New Roman"/>
        </w:rPr>
        <w:t xml:space="preserve"> public access</w:t>
      </w:r>
      <w:r w:rsidRPr="00E56B4D">
        <w:rPr>
          <w:rFonts w:ascii="Century Schoolbook" w:hAnsi="Century Schoolbook" w:cs="Times New Roman"/>
        </w:rPr>
        <w:t>.</w:t>
      </w:r>
      <w:r w:rsidRPr="00E56B4D">
        <w:rPr>
          <w:rStyle w:val="EndnoteReference"/>
          <w:rFonts w:ascii="Century Schoolbook" w:hAnsi="Century Schoolbook" w:cs="Times New Roman"/>
        </w:rPr>
        <w:endnoteReference w:id="28"/>
      </w:r>
      <w:r w:rsidRPr="00E56B4D">
        <w:rPr>
          <w:rFonts w:ascii="Century Schoolbook" w:hAnsi="Century Schoolbook" w:cs="Times New Roman"/>
        </w:rPr>
        <w:t xml:space="preserve">  The act gave support </w:t>
      </w:r>
      <w:r w:rsidRPr="00E56B4D">
        <w:rPr>
          <w:rFonts w:ascii="Century Schoolbook" w:hAnsi="Century Schoolbook" w:cs="Times New Roman"/>
        </w:rPr>
        <w:lastRenderedPageBreak/>
        <w:t xml:space="preserve">requirements and spelled out specific guidelines for government agencies </w:t>
      </w:r>
      <w:r w:rsidR="00B23CA3">
        <w:rPr>
          <w:rFonts w:ascii="Century Schoolbook" w:hAnsi="Century Schoolbook" w:cs="Times New Roman"/>
        </w:rPr>
        <w:t xml:space="preserve">using </w:t>
      </w:r>
      <w:r w:rsidRPr="00E56B4D">
        <w:rPr>
          <w:rFonts w:ascii="Century Schoolbook" w:hAnsi="Century Schoolbook" w:cs="Times New Roman"/>
        </w:rPr>
        <w:t xml:space="preserve">the </w:t>
      </w:r>
      <w:r w:rsidR="00D076BF">
        <w:rPr>
          <w:rFonts w:ascii="Century Schoolbook" w:hAnsi="Century Schoolbook" w:cs="Times New Roman"/>
        </w:rPr>
        <w:t>i</w:t>
      </w:r>
      <w:r w:rsidRPr="00E56B4D">
        <w:rPr>
          <w:rFonts w:ascii="Century Schoolbook" w:hAnsi="Century Schoolbook" w:cs="Times New Roman"/>
        </w:rPr>
        <w:t>nternet as a means to deliver information.</w:t>
      </w:r>
      <w:r w:rsidRPr="00E56B4D">
        <w:rPr>
          <w:rStyle w:val="EndnoteReference"/>
          <w:rFonts w:ascii="Century Schoolbook" w:hAnsi="Century Schoolbook" w:cs="Times New Roman"/>
        </w:rPr>
        <w:endnoteReference w:id="29"/>
      </w:r>
      <w:r w:rsidRPr="00E56B4D">
        <w:rPr>
          <w:rFonts w:ascii="Century Schoolbook" w:hAnsi="Century Schoolbook" w:cs="Times New Roman"/>
        </w:rPr>
        <w:t xml:space="preserve">  The act has been successfully </w:t>
      </w:r>
      <w:r w:rsidR="00733B7C" w:rsidRPr="00E56B4D">
        <w:rPr>
          <w:rFonts w:ascii="Century Schoolbook" w:hAnsi="Century Schoolbook" w:cs="Times New Roman"/>
        </w:rPr>
        <w:t xml:space="preserve">in certain </w:t>
      </w:r>
      <w:r w:rsidR="00FD5F6F" w:rsidRPr="00E56B4D">
        <w:rPr>
          <w:rFonts w:ascii="Century Schoolbook" w:hAnsi="Century Schoolbook" w:cs="Times New Roman"/>
        </w:rPr>
        <w:t>areas</w:t>
      </w:r>
      <w:r w:rsidR="00733B7C" w:rsidRPr="00E56B4D">
        <w:rPr>
          <w:rFonts w:ascii="Century Schoolbook" w:hAnsi="Century Schoolbook" w:cs="Times New Roman"/>
        </w:rPr>
        <w:t xml:space="preserve"> </w:t>
      </w:r>
      <w:r w:rsidRPr="00E56B4D">
        <w:rPr>
          <w:rFonts w:ascii="Century Schoolbook" w:hAnsi="Century Schoolbook" w:cs="Times New Roman"/>
        </w:rPr>
        <w:t xml:space="preserve">at getting government data to the </w:t>
      </w:r>
      <w:r w:rsidR="00EA6D72" w:rsidRPr="00E56B4D">
        <w:rPr>
          <w:rFonts w:ascii="Century Schoolbook" w:hAnsi="Century Schoolbook" w:cs="Times New Roman"/>
        </w:rPr>
        <w:t>public</w:t>
      </w:r>
      <w:r w:rsidRPr="00E56B4D">
        <w:rPr>
          <w:rFonts w:ascii="Century Schoolbook" w:hAnsi="Century Schoolbook" w:cs="Times New Roman"/>
        </w:rPr>
        <w:t xml:space="preserve">.  However, the act has been inefficient in freeing </w:t>
      </w:r>
      <w:r w:rsidR="001C5194">
        <w:rPr>
          <w:rFonts w:ascii="Century Schoolbook" w:hAnsi="Century Schoolbook" w:cs="Times New Roman"/>
        </w:rPr>
        <w:t xml:space="preserve">electronic data </w:t>
      </w:r>
      <w:r w:rsidRPr="00E56B4D">
        <w:rPr>
          <w:rFonts w:ascii="Century Schoolbook" w:hAnsi="Century Schoolbook" w:cs="Times New Roman"/>
        </w:rPr>
        <w:t xml:space="preserve">because it was more focused on areas </w:t>
      </w:r>
      <w:r w:rsidR="001C5194">
        <w:rPr>
          <w:rFonts w:ascii="Century Schoolbook" w:hAnsi="Century Schoolbook" w:cs="Times New Roman"/>
        </w:rPr>
        <w:t xml:space="preserve">with </w:t>
      </w:r>
      <w:r w:rsidRPr="00E56B4D">
        <w:rPr>
          <w:rFonts w:ascii="Century Schoolbook" w:hAnsi="Century Schoolbook" w:cs="Times New Roman"/>
        </w:rPr>
        <w:t xml:space="preserve">public documents and only devoted one </w:t>
      </w:r>
      <w:r w:rsidR="00AE46A0">
        <w:rPr>
          <w:rFonts w:ascii="Century Schoolbook" w:hAnsi="Century Schoolbook" w:cs="Times New Roman"/>
        </w:rPr>
        <w:t xml:space="preserve">small </w:t>
      </w:r>
      <w:r w:rsidRPr="00E56B4D">
        <w:rPr>
          <w:rFonts w:ascii="Century Schoolbook" w:hAnsi="Century Schoolbook" w:cs="Times New Roman"/>
        </w:rPr>
        <w:t xml:space="preserve">section to </w:t>
      </w:r>
      <w:r w:rsidR="001C5194">
        <w:rPr>
          <w:rFonts w:ascii="Century Schoolbook" w:hAnsi="Century Schoolbook" w:cs="Times New Roman"/>
        </w:rPr>
        <w:t>electronic data</w:t>
      </w:r>
      <w:r w:rsidRPr="00E56B4D">
        <w:rPr>
          <w:rFonts w:ascii="Century Schoolbook" w:hAnsi="Century Schoolbook" w:cs="Times New Roman"/>
        </w:rPr>
        <w:t>.</w:t>
      </w:r>
      <w:r w:rsidRPr="00E56B4D">
        <w:rPr>
          <w:rStyle w:val="EndnoteReference"/>
          <w:rFonts w:ascii="Century Schoolbook" w:hAnsi="Century Schoolbook" w:cs="Times New Roman"/>
        </w:rPr>
        <w:t xml:space="preserve"> </w:t>
      </w:r>
      <w:r w:rsidRPr="00E56B4D">
        <w:rPr>
          <w:rStyle w:val="EndnoteReference"/>
          <w:rFonts w:ascii="Century Schoolbook" w:hAnsi="Century Schoolbook" w:cs="Times New Roman"/>
        </w:rPr>
        <w:endnoteReference w:id="30"/>
      </w:r>
      <w:r w:rsidR="00D076BF">
        <w:rPr>
          <w:rFonts w:ascii="Century Schoolbook" w:hAnsi="Century Schoolbook" w:cs="Times New Roman"/>
        </w:rPr>
        <w:t xml:space="preserve">  The legislatures will need to step in </w:t>
      </w:r>
      <w:r w:rsidR="00AE46A0">
        <w:rPr>
          <w:rFonts w:ascii="Century Schoolbook" w:hAnsi="Century Schoolbook" w:cs="Times New Roman"/>
        </w:rPr>
        <w:t xml:space="preserve">further </w:t>
      </w:r>
      <w:r w:rsidR="00D076BF">
        <w:rPr>
          <w:rFonts w:ascii="Century Schoolbook" w:hAnsi="Century Schoolbook" w:cs="Times New Roman"/>
        </w:rPr>
        <w:t xml:space="preserve">to </w:t>
      </w:r>
      <w:r w:rsidR="001C5194">
        <w:rPr>
          <w:rFonts w:ascii="Century Schoolbook" w:hAnsi="Century Schoolbook" w:cs="Times New Roman"/>
        </w:rPr>
        <w:t xml:space="preserve">facilitate </w:t>
      </w:r>
      <w:r w:rsidR="00D076BF">
        <w:rPr>
          <w:rFonts w:ascii="Century Schoolbook" w:hAnsi="Century Schoolbook" w:cs="Times New Roman"/>
        </w:rPr>
        <w:t>public access to governmental and judicial databases.</w:t>
      </w:r>
    </w:p>
    <w:p w:rsidR="00207AD0" w:rsidRPr="00E56B4D" w:rsidRDefault="00641429" w:rsidP="0002068B">
      <w:pPr>
        <w:pStyle w:val="Heading1"/>
        <w:numPr>
          <w:ilvl w:val="0"/>
          <w:numId w:val="1"/>
        </w:numPr>
        <w:spacing w:before="100" w:beforeAutospacing="1" w:after="240" w:line="480" w:lineRule="auto"/>
        <w:rPr>
          <w:rFonts w:ascii="Century Schoolbook" w:hAnsi="Century Schoolbook" w:cs="Times New Roman"/>
          <w:sz w:val="24"/>
          <w:szCs w:val="24"/>
        </w:rPr>
      </w:pPr>
      <w:bookmarkStart w:id="3" w:name="_Toc362462013"/>
      <w:r w:rsidRPr="00E56B4D">
        <w:rPr>
          <w:rFonts w:ascii="Century Schoolbook" w:hAnsi="Century Schoolbook" w:cs="Times New Roman"/>
          <w:sz w:val="24"/>
          <w:szCs w:val="24"/>
        </w:rPr>
        <w:t>State Courts</w:t>
      </w:r>
      <w:bookmarkEnd w:id="3"/>
    </w:p>
    <w:p w:rsidR="00641429" w:rsidRPr="00E56B4D" w:rsidRDefault="00641429" w:rsidP="0002068B">
      <w:pPr>
        <w:pStyle w:val="Text"/>
        <w:spacing w:before="100" w:beforeAutospacing="1" w:after="240"/>
        <w:jc w:val="both"/>
        <w:rPr>
          <w:rFonts w:ascii="Century Schoolbook" w:hAnsi="Century Schoolbook" w:cs="Times New Roman"/>
        </w:rPr>
      </w:pPr>
      <w:r w:rsidRPr="00E56B4D">
        <w:rPr>
          <w:rFonts w:ascii="Century Schoolbook" w:hAnsi="Century Schoolbook" w:cs="Times New Roman"/>
        </w:rPr>
        <w:t xml:space="preserve">States have created </w:t>
      </w:r>
      <w:r w:rsidR="00733B7C" w:rsidRPr="00E56B4D">
        <w:rPr>
          <w:rFonts w:ascii="Century Schoolbook" w:hAnsi="Century Schoolbook" w:cs="Times New Roman"/>
        </w:rPr>
        <w:t xml:space="preserve">some </w:t>
      </w:r>
      <w:r w:rsidRPr="00E56B4D">
        <w:rPr>
          <w:rFonts w:ascii="Century Schoolbook" w:hAnsi="Century Schoolbook" w:cs="Times New Roman"/>
        </w:rPr>
        <w:t xml:space="preserve">comprehensive judicial databases but have </w:t>
      </w:r>
      <w:r w:rsidR="001C5194">
        <w:rPr>
          <w:rFonts w:ascii="Century Schoolbook" w:hAnsi="Century Schoolbook" w:cs="Times New Roman"/>
        </w:rPr>
        <w:t xml:space="preserve">largely been a </w:t>
      </w:r>
      <w:proofErr w:type="spellStart"/>
      <w:r w:rsidR="001C5194">
        <w:rPr>
          <w:rFonts w:ascii="Century Schoolbook" w:hAnsi="Century Schoolbook" w:cs="Times New Roman"/>
        </w:rPr>
        <w:t>hodge</w:t>
      </w:r>
      <w:proofErr w:type="spellEnd"/>
      <w:r w:rsidR="001C5194">
        <w:rPr>
          <w:rFonts w:ascii="Century Schoolbook" w:hAnsi="Century Schoolbook" w:cs="Times New Roman"/>
        </w:rPr>
        <w:t xml:space="preserve"> </w:t>
      </w:r>
      <w:proofErr w:type="spellStart"/>
      <w:r w:rsidR="001C5194">
        <w:rPr>
          <w:rFonts w:ascii="Century Schoolbook" w:hAnsi="Century Schoolbook" w:cs="Times New Roman"/>
        </w:rPr>
        <w:t>podge</w:t>
      </w:r>
      <w:proofErr w:type="spellEnd"/>
      <w:r w:rsidR="001C5194">
        <w:rPr>
          <w:rFonts w:ascii="Century Schoolbook" w:hAnsi="Century Schoolbook" w:cs="Times New Roman"/>
        </w:rPr>
        <w:t xml:space="preserve"> of solutions because of </w:t>
      </w:r>
      <w:r w:rsidRPr="00E56B4D">
        <w:rPr>
          <w:rFonts w:ascii="Century Schoolbook" w:hAnsi="Century Schoolbook" w:cs="Times New Roman"/>
        </w:rPr>
        <w:t xml:space="preserve">issues of cost, access, and size.  The state </w:t>
      </w:r>
      <w:r w:rsidR="00911800">
        <w:rPr>
          <w:rFonts w:ascii="Century Schoolbook" w:hAnsi="Century Schoolbook" w:cs="Times New Roman"/>
        </w:rPr>
        <w:t xml:space="preserve">courts deal with more cases, </w:t>
      </w:r>
      <w:r w:rsidR="00733B7C" w:rsidRPr="00E56B4D">
        <w:rPr>
          <w:rFonts w:ascii="Century Schoolbook" w:hAnsi="Century Schoolbook" w:cs="Times New Roman"/>
        </w:rPr>
        <w:t>more court dockets</w:t>
      </w:r>
      <w:r w:rsidR="00911800">
        <w:rPr>
          <w:rFonts w:ascii="Century Schoolbook" w:hAnsi="Century Schoolbook" w:cs="Times New Roman"/>
        </w:rPr>
        <w:t>,</w:t>
      </w:r>
      <w:r w:rsidR="00733B7C" w:rsidRPr="00E56B4D">
        <w:rPr>
          <w:rFonts w:ascii="Century Schoolbook" w:hAnsi="Century Schoolbook" w:cs="Times New Roman"/>
        </w:rPr>
        <w:t xml:space="preserve"> and </w:t>
      </w:r>
      <w:r w:rsidR="00B23CA3">
        <w:rPr>
          <w:rFonts w:ascii="Century Schoolbook" w:hAnsi="Century Schoolbook" w:cs="Times New Roman"/>
        </w:rPr>
        <w:t>more agencies; which make</w:t>
      </w:r>
      <w:r w:rsidR="00733B7C" w:rsidRPr="00E56B4D">
        <w:rPr>
          <w:rFonts w:ascii="Century Schoolbook" w:hAnsi="Century Schoolbook" w:cs="Times New Roman"/>
        </w:rPr>
        <w:t xml:space="preserve"> the hurdles higher.  </w:t>
      </w:r>
      <w:r w:rsidR="00911800">
        <w:rPr>
          <w:rFonts w:ascii="Century Schoolbook" w:hAnsi="Century Schoolbook" w:cs="Times New Roman"/>
        </w:rPr>
        <w:t>Like PACER, m</w:t>
      </w:r>
      <w:r w:rsidRPr="00E56B4D">
        <w:rPr>
          <w:rFonts w:ascii="Century Schoolbook" w:hAnsi="Century Schoolbook" w:cs="Times New Roman"/>
        </w:rPr>
        <w:t>any states have created their own database and document storage regimes.</w:t>
      </w:r>
      <w:r w:rsidRPr="00E56B4D">
        <w:rPr>
          <w:rStyle w:val="EndnoteReference"/>
          <w:rFonts w:ascii="Century Schoolbook" w:hAnsi="Century Schoolbook" w:cs="Times New Roman"/>
        </w:rPr>
        <w:endnoteReference w:id="31"/>
      </w:r>
      <w:r w:rsidRPr="00E56B4D">
        <w:rPr>
          <w:rFonts w:ascii="Century Schoolbook" w:hAnsi="Century Schoolbook" w:cs="Times New Roman"/>
        </w:rPr>
        <w:t xml:space="preserve">  New York’s model, which created a commission report in 2004 and then passed legislation in 2005 to launch its pilot program, </w:t>
      </w:r>
      <w:r w:rsidR="00B23CA3">
        <w:rPr>
          <w:rFonts w:ascii="Century Schoolbook" w:hAnsi="Century Schoolbook" w:cs="Times New Roman"/>
        </w:rPr>
        <w:t xml:space="preserve">created a centralized </w:t>
      </w:r>
      <w:r w:rsidRPr="00E56B4D">
        <w:rPr>
          <w:rFonts w:ascii="Century Schoolbook" w:hAnsi="Century Schoolbook" w:cs="Times New Roman"/>
        </w:rPr>
        <w:t xml:space="preserve">electronic filing system at </w:t>
      </w:r>
      <w:r w:rsidR="00FD5F6F" w:rsidRPr="00E56B4D">
        <w:rPr>
          <w:rFonts w:ascii="Century Schoolbook" w:hAnsi="Century Schoolbook" w:cs="Times New Roman"/>
        </w:rPr>
        <w:t xml:space="preserve">the state </w:t>
      </w:r>
      <w:r w:rsidRPr="00E56B4D">
        <w:rPr>
          <w:rFonts w:ascii="Century Schoolbook" w:hAnsi="Century Schoolbook" w:cs="Times New Roman"/>
        </w:rPr>
        <w:t>trial level.</w:t>
      </w:r>
      <w:r w:rsidRPr="00E56B4D">
        <w:rPr>
          <w:rStyle w:val="EndnoteReference"/>
          <w:rFonts w:ascii="Century Schoolbook" w:hAnsi="Century Schoolbook" w:cs="Times New Roman"/>
        </w:rPr>
        <w:endnoteReference w:id="32"/>
      </w:r>
      <w:r w:rsidRPr="00E56B4D">
        <w:rPr>
          <w:rFonts w:ascii="Century Schoolbook" w:hAnsi="Century Schoolbook" w:cs="Times New Roman"/>
        </w:rPr>
        <w:t xml:space="preserve">  </w:t>
      </w:r>
      <w:r w:rsidR="00733B7C" w:rsidRPr="00E56B4D">
        <w:rPr>
          <w:rFonts w:ascii="Century Schoolbook" w:hAnsi="Century Schoolbook" w:cs="Times New Roman"/>
        </w:rPr>
        <w:t xml:space="preserve">The goal of the New York system was to have a </w:t>
      </w:r>
      <w:r w:rsidR="006C23F5" w:rsidRPr="00E56B4D">
        <w:rPr>
          <w:rFonts w:ascii="Century Schoolbook" w:hAnsi="Century Schoolbook" w:cs="Times New Roman"/>
        </w:rPr>
        <w:t xml:space="preserve">central </w:t>
      </w:r>
      <w:r w:rsidR="001C5194">
        <w:rPr>
          <w:rFonts w:ascii="Century Schoolbook" w:hAnsi="Century Schoolbook" w:cs="Times New Roman"/>
        </w:rPr>
        <w:t xml:space="preserve">storage </w:t>
      </w:r>
      <w:r w:rsidR="006C23F5" w:rsidRPr="00E56B4D">
        <w:rPr>
          <w:rFonts w:ascii="Century Schoolbook" w:hAnsi="Century Schoolbook" w:cs="Times New Roman"/>
        </w:rPr>
        <w:t>that</w:t>
      </w:r>
      <w:r w:rsidR="00733B7C" w:rsidRPr="00E56B4D">
        <w:rPr>
          <w:rFonts w:ascii="Century Schoolbook" w:hAnsi="Century Schoolbook" w:cs="Times New Roman"/>
        </w:rPr>
        <w:t xml:space="preserve"> provided </w:t>
      </w:r>
      <w:r w:rsidR="00911800">
        <w:rPr>
          <w:rFonts w:ascii="Century Schoolbook" w:hAnsi="Century Schoolbook" w:cs="Times New Roman"/>
        </w:rPr>
        <w:t>interoperability</w:t>
      </w:r>
      <w:r w:rsidR="00911800" w:rsidRPr="00E56B4D">
        <w:rPr>
          <w:rFonts w:ascii="Century Schoolbook" w:hAnsi="Century Schoolbook" w:cs="Times New Roman"/>
        </w:rPr>
        <w:t xml:space="preserve"> </w:t>
      </w:r>
      <w:r w:rsidR="00733B7C" w:rsidRPr="00E56B4D">
        <w:rPr>
          <w:rFonts w:ascii="Century Schoolbook" w:hAnsi="Century Schoolbook" w:cs="Times New Roman"/>
        </w:rPr>
        <w:t xml:space="preserve">to the many judicial branches and agencies.  </w:t>
      </w:r>
      <w:r w:rsidRPr="00E56B4D">
        <w:rPr>
          <w:rFonts w:ascii="Century Schoolbook" w:hAnsi="Century Schoolbook" w:cs="Times New Roman"/>
        </w:rPr>
        <w:t>The o</w:t>
      </w:r>
      <w:r w:rsidR="006C23F5" w:rsidRPr="00E56B4D">
        <w:rPr>
          <w:rFonts w:ascii="Century Schoolbook" w:hAnsi="Century Schoolbook" w:cs="Times New Roman"/>
        </w:rPr>
        <w:t xml:space="preserve">riginal </w:t>
      </w:r>
      <w:r w:rsidR="001C5194">
        <w:rPr>
          <w:rFonts w:ascii="Century Schoolbook" w:hAnsi="Century Schoolbook" w:cs="Times New Roman"/>
        </w:rPr>
        <w:t xml:space="preserve">electronic storage </w:t>
      </w:r>
      <w:r w:rsidRPr="00E56B4D">
        <w:rPr>
          <w:rFonts w:ascii="Century Schoolbook" w:hAnsi="Century Schoolbook" w:cs="Times New Roman"/>
        </w:rPr>
        <w:t>was limited to only 15 counties, but</w:t>
      </w:r>
      <w:r w:rsidR="001C5194">
        <w:rPr>
          <w:rFonts w:ascii="Century Schoolbook" w:hAnsi="Century Schoolbook" w:cs="Times New Roman"/>
        </w:rPr>
        <w:t>, due to its success,</w:t>
      </w:r>
      <w:r w:rsidRPr="00E56B4D">
        <w:rPr>
          <w:rFonts w:ascii="Century Schoolbook" w:hAnsi="Century Schoolbook" w:cs="Times New Roman"/>
        </w:rPr>
        <w:t xml:space="preserve"> it has been expanding annually.</w:t>
      </w:r>
      <w:r w:rsidRPr="00E56B4D">
        <w:rPr>
          <w:rStyle w:val="EndnoteReference"/>
          <w:rFonts w:ascii="Century Schoolbook" w:hAnsi="Century Schoolbook" w:cs="Times New Roman"/>
        </w:rPr>
        <w:endnoteReference w:id="33"/>
      </w:r>
      <w:r w:rsidRPr="00E56B4D">
        <w:rPr>
          <w:rFonts w:ascii="Century Schoolbook" w:hAnsi="Century Schoolbook" w:cs="Times New Roman"/>
        </w:rPr>
        <w:t xml:space="preserve">  New York is a promising strategy</w:t>
      </w:r>
      <w:r w:rsidR="00860B98">
        <w:rPr>
          <w:rFonts w:ascii="Century Schoolbook" w:hAnsi="Century Schoolbook" w:cs="Times New Roman"/>
        </w:rPr>
        <w:t xml:space="preserve"> for agency aggregation and interoperability</w:t>
      </w:r>
      <w:r w:rsidRPr="00E56B4D">
        <w:rPr>
          <w:rFonts w:ascii="Century Schoolbook" w:hAnsi="Century Schoolbook" w:cs="Times New Roman"/>
        </w:rPr>
        <w:t>, since it was done at the state level.</w:t>
      </w:r>
      <w:r w:rsidRPr="00E56B4D">
        <w:rPr>
          <w:rStyle w:val="EndnoteReference"/>
          <w:rFonts w:ascii="Century Schoolbook" w:hAnsi="Century Schoolbook" w:cs="Times New Roman"/>
        </w:rPr>
        <w:endnoteReference w:id="34"/>
      </w:r>
      <w:r w:rsidRPr="00E56B4D">
        <w:rPr>
          <w:rFonts w:ascii="Century Schoolbook" w:hAnsi="Century Schoolbook" w:cs="Times New Roman"/>
        </w:rPr>
        <w:t xml:space="preserve">  New York</w:t>
      </w:r>
      <w:r w:rsidR="00860B98">
        <w:rPr>
          <w:rFonts w:ascii="Century Schoolbook" w:hAnsi="Century Schoolbook" w:cs="Times New Roman"/>
        </w:rPr>
        <w:t>, having a legislative directive at the state level,</w:t>
      </w:r>
      <w:r w:rsidRPr="00E56B4D">
        <w:rPr>
          <w:rFonts w:ascii="Century Schoolbook" w:hAnsi="Century Schoolbook" w:cs="Times New Roman"/>
        </w:rPr>
        <w:t xml:space="preserve"> has </w:t>
      </w:r>
      <w:r w:rsidR="00733B7C" w:rsidRPr="00E56B4D">
        <w:rPr>
          <w:rFonts w:ascii="Century Schoolbook" w:hAnsi="Century Schoolbook" w:cs="Times New Roman"/>
        </w:rPr>
        <w:t xml:space="preserve">been relatively successful in trying to integrate </w:t>
      </w:r>
      <w:r w:rsidRPr="00E56B4D">
        <w:rPr>
          <w:rFonts w:ascii="Century Schoolbook" w:hAnsi="Century Schoolbook" w:cs="Times New Roman"/>
        </w:rPr>
        <w:t xml:space="preserve">the vast number of court </w:t>
      </w:r>
      <w:r w:rsidRPr="00E56B4D">
        <w:rPr>
          <w:rFonts w:ascii="Century Schoolbook" w:hAnsi="Century Schoolbook" w:cs="Times New Roman"/>
        </w:rPr>
        <w:lastRenderedPageBreak/>
        <w:t>and government agency databases</w:t>
      </w:r>
      <w:r w:rsidR="00B23CA3">
        <w:rPr>
          <w:rFonts w:ascii="Century Schoolbook" w:hAnsi="Century Schoolbook" w:cs="Times New Roman"/>
        </w:rPr>
        <w:t xml:space="preserve"> into one central location</w:t>
      </w:r>
      <w:r w:rsidRPr="00E56B4D">
        <w:rPr>
          <w:rFonts w:ascii="Century Schoolbook" w:hAnsi="Century Schoolbook" w:cs="Times New Roman"/>
        </w:rPr>
        <w:t>.</w:t>
      </w:r>
      <w:r w:rsidRPr="00E56B4D">
        <w:rPr>
          <w:rStyle w:val="EndnoteReference"/>
          <w:rFonts w:ascii="Century Schoolbook" w:hAnsi="Century Schoolbook" w:cs="Times New Roman"/>
        </w:rPr>
        <w:endnoteReference w:id="35"/>
      </w:r>
      <w:r w:rsidR="006676E2">
        <w:rPr>
          <w:rFonts w:ascii="Century Schoolbook" w:hAnsi="Century Schoolbook" w:cs="Times New Roman"/>
        </w:rPr>
        <w:t xml:space="preserve">  Any public analytics on the New York system could be done since it is centralized, but, like Pacer, public access has been limited.</w:t>
      </w:r>
    </w:p>
    <w:p w:rsidR="00641429" w:rsidRPr="00E56B4D" w:rsidRDefault="00641429" w:rsidP="0002068B">
      <w:pPr>
        <w:pStyle w:val="Text"/>
        <w:spacing w:before="100" w:beforeAutospacing="1" w:after="240"/>
        <w:jc w:val="both"/>
        <w:rPr>
          <w:rFonts w:ascii="Century Schoolbook" w:hAnsi="Century Schoolbook" w:cs="Times New Roman"/>
        </w:rPr>
      </w:pPr>
      <w:r w:rsidRPr="00E56B4D">
        <w:rPr>
          <w:rFonts w:ascii="Century Schoolbook" w:hAnsi="Century Schoolbook" w:cs="Times New Roman"/>
        </w:rPr>
        <w:t>California</w:t>
      </w:r>
      <w:r w:rsidR="00733B7C" w:rsidRPr="00E56B4D">
        <w:rPr>
          <w:rFonts w:ascii="Century Schoolbook" w:hAnsi="Century Schoolbook" w:cs="Times New Roman"/>
        </w:rPr>
        <w:t>, on the other hand,</w:t>
      </w:r>
      <w:r w:rsidRPr="00E56B4D">
        <w:rPr>
          <w:rFonts w:ascii="Century Schoolbook" w:hAnsi="Century Schoolbook" w:cs="Times New Roman"/>
        </w:rPr>
        <w:t xml:space="preserve"> created the </w:t>
      </w:r>
      <w:proofErr w:type="spellStart"/>
      <w:r w:rsidR="00B23CA3">
        <w:rPr>
          <w:rFonts w:ascii="Century Schoolbook" w:hAnsi="Century Schoolbook" w:cs="Times New Roman"/>
        </w:rPr>
        <w:t>E</w:t>
      </w:r>
      <w:r w:rsidRPr="00E56B4D">
        <w:rPr>
          <w:rFonts w:ascii="Century Schoolbook" w:hAnsi="Century Schoolbook" w:cs="Times New Roman"/>
        </w:rPr>
        <w:t>sources</w:t>
      </w:r>
      <w:proofErr w:type="spellEnd"/>
      <w:r w:rsidRPr="00E56B4D">
        <w:rPr>
          <w:rFonts w:ascii="Century Schoolbook" w:hAnsi="Century Schoolbook" w:cs="Times New Roman"/>
        </w:rPr>
        <w:t xml:space="preserve"> initiative to provide incentives to the individual courts to </w:t>
      </w:r>
      <w:r w:rsidR="006676E2">
        <w:rPr>
          <w:rFonts w:ascii="Century Schoolbook" w:hAnsi="Century Schoolbook" w:cs="Times New Roman"/>
        </w:rPr>
        <w:t>build their own electronic storage</w:t>
      </w:r>
      <w:r w:rsidRPr="00E56B4D">
        <w:rPr>
          <w:rFonts w:ascii="Century Schoolbook" w:hAnsi="Century Schoolbook" w:cs="Times New Roman"/>
        </w:rPr>
        <w:t>.</w:t>
      </w:r>
      <w:r w:rsidRPr="00E56B4D">
        <w:rPr>
          <w:rStyle w:val="EndnoteReference"/>
          <w:rFonts w:ascii="Century Schoolbook" w:hAnsi="Century Schoolbook" w:cs="Times New Roman"/>
        </w:rPr>
        <w:endnoteReference w:id="36"/>
      </w:r>
      <w:r w:rsidRPr="00E56B4D">
        <w:rPr>
          <w:rFonts w:ascii="Century Schoolbook" w:hAnsi="Century Schoolbook" w:cs="Times New Roman"/>
        </w:rPr>
        <w:t xml:space="preserve">  </w:t>
      </w:r>
      <w:r w:rsidR="00733B7C" w:rsidRPr="00E56B4D">
        <w:rPr>
          <w:rFonts w:ascii="Century Schoolbook" w:hAnsi="Century Schoolbook" w:cs="Times New Roman"/>
        </w:rPr>
        <w:t xml:space="preserve">California </w:t>
      </w:r>
      <w:r w:rsidR="00860B98">
        <w:rPr>
          <w:rFonts w:ascii="Century Schoolbook" w:hAnsi="Century Schoolbook" w:cs="Times New Roman"/>
        </w:rPr>
        <w:t xml:space="preserve">requires agencies to institute </w:t>
      </w:r>
      <w:r w:rsidR="00733B7C" w:rsidRPr="00E56B4D">
        <w:rPr>
          <w:rFonts w:ascii="Century Schoolbook" w:hAnsi="Century Schoolbook" w:cs="Times New Roman"/>
        </w:rPr>
        <w:t>the database</w:t>
      </w:r>
      <w:r w:rsidR="00860B98">
        <w:rPr>
          <w:rFonts w:ascii="Century Schoolbook" w:hAnsi="Century Schoolbook" w:cs="Times New Roman"/>
        </w:rPr>
        <w:t>s and interoperability</w:t>
      </w:r>
      <w:r w:rsidR="00733B7C" w:rsidRPr="00E56B4D">
        <w:rPr>
          <w:rFonts w:ascii="Century Schoolbook" w:hAnsi="Century Schoolbook" w:cs="Times New Roman"/>
        </w:rPr>
        <w:t xml:space="preserve"> themselves </w:t>
      </w:r>
      <w:r w:rsidR="00D8022D">
        <w:rPr>
          <w:rFonts w:ascii="Century Schoolbook" w:hAnsi="Century Schoolbook" w:cs="Times New Roman"/>
        </w:rPr>
        <w:t xml:space="preserve">by providing </w:t>
      </w:r>
      <w:r w:rsidR="00733B7C" w:rsidRPr="00E56B4D">
        <w:rPr>
          <w:rFonts w:ascii="Century Schoolbook" w:hAnsi="Century Schoolbook" w:cs="Times New Roman"/>
        </w:rPr>
        <w:t xml:space="preserve">incentives </w:t>
      </w:r>
      <w:r w:rsidR="00B23CA3">
        <w:rPr>
          <w:rFonts w:ascii="Century Schoolbook" w:hAnsi="Century Schoolbook" w:cs="Times New Roman"/>
        </w:rPr>
        <w:t>for data connectivity and aggregation</w:t>
      </w:r>
      <w:r w:rsidR="00733B7C" w:rsidRPr="00E56B4D">
        <w:rPr>
          <w:rFonts w:ascii="Century Schoolbook" w:hAnsi="Century Schoolbook" w:cs="Times New Roman"/>
        </w:rPr>
        <w:t xml:space="preserve">.  </w:t>
      </w:r>
      <w:r w:rsidRPr="00E56B4D">
        <w:rPr>
          <w:rFonts w:ascii="Century Schoolbook" w:hAnsi="Century Schoolbook" w:cs="Times New Roman"/>
        </w:rPr>
        <w:t>This is not the most desirable system for database aggregation because the courts in the state’s 58 counties have more than 200 case management systems.</w:t>
      </w:r>
      <w:r w:rsidRPr="00E56B4D">
        <w:rPr>
          <w:rStyle w:val="EndnoteReference"/>
          <w:rFonts w:ascii="Century Schoolbook" w:hAnsi="Century Schoolbook" w:cs="Times New Roman"/>
        </w:rPr>
        <w:endnoteReference w:id="37"/>
      </w:r>
      <w:r w:rsidRPr="00E56B4D">
        <w:rPr>
          <w:rFonts w:ascii="Century Schoolbook" w:hAnsi="Century Schoolbook" w:cs="Times New Roman"/>
        </w:rPr>
        <w:t xml:space="preserve">  Most of these case management systems have very little cross-system </w:t>
      </w:r>
      <w:r w:rsidR="00860B98">
        <w:rPr>
          <w:rFonts w:ascii="Century Schoolbook" w:hAnsi="Century Schoolbook" w:cs="Times New Roman"/>
        </w:rPr>
        <w:t>compatibility or interoperability.</w:t>
      </w:r>
      <w:r w:rsidRPr="00E56B4D">
        <w:rPr>
          <w:rStyle w:val="EndnoteReference"/>
          <w:rFonts w:ascii="Century Schoolbook" w:hAnsi="Century Schoolbook" w:cs="Times New Roman"/>
        </w:rPr>
        <w:endnoteReference w:id="38"/>
      </w:r>
      <w:r w:rsidR="00BA08D8">
        <w:rPr>
          <w:rFonts w:ascii="Century Schoolbook" w:hAnsi="Century Schoolbook" w:cs="Times New Roman"/>
        </w:rPr>
        <w:t xml:space="preserve">  Having the data in disperse databases with little cross compatibility, makes it hard to mine or do statistical analysis</w:t>
      </w:r>
      <w:r w:rsidR="005D2D5D">
        <w:rPr>
          <w:rFonts w:ascii="Century Schoolbook" w:hAnsi="Century Schoolbook" w:cs="Times New Roman"/>
        </w:rPr>
        <w:t xml:space="preserve"> with both internal and public analytics</w:t>
      </w:r>
      <w:r w:rsidR="00BA08D8">
        <w:rPr>
          <w:rFonts w:ascii="Century Schoolbook" w:hAnsi="Century Schoolbook" w:cs="Times New Roman"/>
        </w:rPr>
        <w:t xml:space="preserve">.  The </w:t>
      </w:r>
      <w:r w:rsidRPr="00E56B4D">
        <w:rPr>
          <w:rFonts w:ascii="Century Schoolbook" w:hAnsi="Century Schoolbook" w:cs="Times New Roman"/>
        </w:rPr>
        <w:t xml:space="preserve">Administrative Office of the California Judicial branch and the state Judicial Council have tried to </w:t>
      </w:r>
      <w:proofErr w:type="gramStart"/>
      <w:r w:rsidRPr="00E56B4D">
        <w:rPr>
          <w:rFonts w:ascii="Century Schoolbook" w:hAnsi="Century Schoolbook" w:cs="Times New Roman"/>
        </w:rPr>
        <w:t>reign</w:t>
      </w:r>
      <w:proofErr w:type="gramEnd"/>
      <w:r w:rsidRPr="00E56B4D">
        <w:rPr>
          <w:rFonts w:ascii="Century Schoolbook" w:hAnsi="Century Schoolbook" w:cs="Times New Roman"/>
        </w:rPr>
        <w:t xml:space="preserve"> the system in but the </w:t>
      </w:r>
      <w:r w:rsidR="00B23CA3">
        <w:rPr>
          <w:rFonts w:ascii="Century Schoolbook" w:hAnsi="Century Schoolbook" w:cs="Times New Roman"/>
        </w:rPr>
        <w:t xml:space="preserve">control of the </w:t>
      </w:r>
      <w:r w:rsidRPr="00E56B4D">
        <w:rPr>
          <w:rFonts w:ascii="Century Schoolbook" w:hAnsi="Century Schoolbook" w:cs="Times New Roman"/>
        </w:rPr>
        <w:t xml:space="preserve">database systems </w:t>
      </w:r>
      <w:r w:rsidR="005B0C1C">
        <w:rPr>
          <w:rFonts w:ascii="Century Schoolbook" w:hAnsi="Century Schoolbook" w:cs="Times New Roman"/>
        </w:rPr>
        <w:t xml:space="preserve">still </w:t>
      </w:r>
      <w:r w:rsidRPr="00E56B4D">
        <w:rPr>
          <w:rFonts w:ascii="Century Schoolbook" w:hAnsi="Century Schoolbook" w:cs="Times New Roman"/>
        </w:rPr>
        <w:t>lie with individual courts.</w:t>
      </w:r>
      <w:r w:rsidRPr="00E56B4D">
        <w:rPr>
          <w:rStyle w:val="EndnoteReference"/>
          <w:rFonts w:ascii="Century Schoolbook" w:hAnsi="Century Schoolbook" w:cs="Times New Roman"/>
        </w:rPr>
        <w:t xml:space="preserve"> </w:t>
      </w:r>
      <w:r w:rsidRPr="00E56B4D">
        <w:rPr>
          <w:rStyle w:val="EndnoteReference"/>
          <w:rFonts w:ascii="Century Schoolbook" w:hAnsi="Century Schoolbook" w:cs="Times New Roman"/>
        </w:rPr>
        <w:endnoteReference w:id="39"/>
      </w:r>
      <w:r w:rsidRPr="00E56B4D">
        <w:rPr>
          <w:rFonts w:ascii="Century Schoolbook" w:hAnsi="Century Schoolbook" w:cs="Times New Roman"/>
        </w:rPr>
        <w:t xml:space="preserve">  </w:t>
      </w:r>
    </w:p>
    <w:p w:rsidR="00C41004" w:rsidRDefault="00694694" w:rsidP="0002068B">
      <w:pPr>
        <w:pStyle w:val="Text"/>
        <w:spacing w:before="100" w:beforeAutospacing="1" w:after="240"/>
        <w:jc w:val="both"/>
        <w:rPr>
          <w:rFonts w:ascii="Century Schoolbook" w:hAnsi="Century Schoolbook" w:cs="Times New Roman"/>
        </w:rPr>
      </w:pPr>
      <w:r w:rsidRPr="00E56B4D">
        <w:rPr>
          <w:rFonts w:ascii="Century Schoolbook" w:hAnsi="Century Schoolbook" w:cs="Times New Roman"/>
        </w:rPr>
        <w:t xml:space="preserve"> </w:t>
      </w:r>
      <w:r w:rsidR="00860B98">
        <w:rPr>
          <w:rFonts w:ascii="Century Schoolbook" w:hAnsi="Century Schoolbook" w:cs="Times New Roman"/>
        </w:rPr>
        <w:t xml:space="preserve">Some states like </w:t>
      </w:r>
      <w:r w:rsidR="00641429" w:rsidRPr="00E56B4D">
        <w:rPr>
          <w:rFonts w:ascii="Century Schoolbook" w:hAnsi="Century Schoolbook" w:cs="Times New Roman"/>
        </w:rPr>
        <w:t xml:space="preserve">Colorado </w:t>
      </w:r>
      <w:r w:rsidR="00860B98">
        <w:rPr>
          <w:rFonts w:ascii="Century Schoolbook" w:hAnsi="Century Schoolbook" w:cs="Times New Roman"/>
        </w:rPr>
        <w:t xml:space="preserve">have </w:t>
      </w:r>
      <w:r w:rsidR="00641429" w:rsidRPr="00E56B4D">
        <w:rPr>
          <w:rFonts w:ascii="Century Schoolbook" w:hAnsi="Century Schoolbook" w:cs="Times New Roman"/>
        </w:rPr>
        <w:t xml:space="preserve">outsourced a lot of </w:t>
      </w:r>
      <w:r w:rsidR="00860B98">
        <w:rPr>
          <w:rFonts w:ascii="Century Schoolbook" w:hAnsi="Century Schoolbook" w:cs="Times New Roman"/>
        </w:rPr>
        <w:t xml:space="preserve">their </w:t>
      </w:r>
      <w:r w:rsidR="00641429" w:rsidRPr="00E56B4D">
        <w:rPr>
          <w:rFonts w:ascii="Century Schoolbook" w:hAnsi="Century Schoolbook" w:cs="Times New Roman"/>
        </w:rPr>
        <w:t>data design</w:t>
      </w:r>
      <w:r w:rsidR="00860B98">
        <w:rPr>
          <w:rFonts w:ascii="Century Schoolbook" w:hAnsi="Century Schoolbook" w:cs="Times New Roman"/>
        </w:rPr>
        <w:t>,</w:t>
      </w:r>
      <w:r w:rsidR="00641429" w:rsidRPr="00E56B4D">
        <w:rPr>
          <w:rFonts w:ascii="Century Schoolbook" w:hAnsi="Century Schoolbook" w:cs="Times New Roman"/>
        </w:rPr>
        <w:t xml:space="preserve"> aggregation</w:t>
      </w:r>
      <w:r w:rsidR="00860B98">
        <w:rPr>
          <w:rFonts w:ascii="Century Schoolbook" w:hAnsi="Century Schoolbook" w:cs="Times New Roman"/>
        </w:rPr>
        <w:t>, and interoperability</w:t>
      </w:r>
      <w:r w:rsidR="00641429" w:rsidRPr="00E56B4D">
        <w:rPr>
          <w:rFonts w:ascii="Century Schoolbook" w:hAnsi="Century Schoolbook" w:cs="Times New Roman"/>
        </w:rPr>
        <w:t xml:space="preserve"> to commercial service providers like LexisNexis or ICON.</w:t>
      </w:r>
      <w:r w:rsidR="00641429" w:rsidRPr="00E56B4D">
        <w:rPr>
          <w:rStyle w:val="EndnoteReference"/>
          <w:rFonts w:ascii="Century Schoolbook" w:hAnsi="Century Schoolbook" w:cs="Times New Roman"/>
        </w:rPr>
        <w:endnoteReference w:id="40"/>
      </w:r>
      <w:r w:rsidR="00641429" w:rsidRPr="00E56B4D">
        <w:rPr>
          <w:rFonts w:ascii="Century Schoolbook" w:hAnsi="Century Schoolbook" w:cs="Times New Roman"/>
        </w:rPr>
        <w:t xml:space="preserve"> </w:t>
      </w:r>
      <w:r w:rsidR="00733B7C" w:rsidRPr="00E56B4D">
        <w:rPr>
          <w:rFonts w:ascii="Century Schoolbook" w:hAnsi="Century Schoolbook" w:cs="Times New Roman"/>
        </w:rPr>
        <w:t xml:space="preserve"> </w:t>
      </w:r>
      <w:r w:rsidR="00641429" w:rsidRPr="00E56B4D">
        <w:rPr>
          <w:rFonts w:ascii="Century Schoolbook" w:hAnsi="Century Schoolbook" w:cs="Times New Roman"/>
        </w:rPr>
        <w:t>Colorado’s system is named the Colorado Integrated Criminal Justice Information System (CICJIS).</w:t>
      </w:r>
      <w:r w:rsidR="00641429" w:rsidRPr="00E56B4D">
        <w:rPr>
          <w:rStyle w:val="EndnoteReference"/>
          <w:rFonts w:ascii="Century Schoolbook" w:hAnsi="Century Schoolbook" w:cs="Times New Roman"/>
        </w:rPr>
        <w:endnoteReference w:id="41"/>
      </w:r>
      <w:r w:rsidR="00641429" w:rsidRPr="00E56B4D">
        <w:rPr>
          <w:rFonts w:ascii="Century Schoolbook" w:hAnsi="Century Schoolbook" w:cs="Times New Roman"/>
        </w:rPr>
        <w:t xml:space="preserve">  </w:t>
      </w:r>
      <w:r w:rsidR="006C23F5" w:rsidRPr="00E56B4D">
        <w:rPr>
          <w:rFonts w:ascii="Century Schoolbook" w:hAnsi="Century Schoolbook" w:cs="Times New Roman"/>
        </w:rPr>
        <w:t xml:space="preserve">Like the New York system, Colorado is trying to centralize its data for efficiency and access reasons.  </w:t>
      </w:r>
      <w:r w:rsidR="008B6C23">
        <w:rPr>
          <w:rFonts w:ascii="Century Schoolbook" w:hAnsi="Century Schoolbook" w:cs="Times New Roman"/>
        </w:rPr>
        <w:t xml:space="preserve">However, Colorado has </w:t>
      </w:r>
      <w:r w:rsidR="00B23CA3">
        <w:rPr>
          <w:rFonts w:ascii="Century Schoolbook" w:hAnsi="Century Schoolbook" w:cs="Times New Roman"/>
        </w:rPr>
        <w:t>created centralization</w:t>
      </w:r>
      <w:r w:rsidR="008B6C23">
        <w:rPr>
          <w:rFonts w:ascii="Century Schoolbook" w:hAnsi="Century Schoolbook" w:cs="Times New Roman"/>
        </w:rPr>
        <w:t xml:space="preserve"> </w:t>
      </w:r>
      <w:r w:rsidR="00CA0196">
        <w:rPr>
          <w:rFonts w:ascii="Century Schoolbook" w:hAnsi="Century Schoolbook" w:cs="Times New Roman"/>
        </w:rPr>
        <w:t xml:space="preserve">with a “virtual dataset” that utilizes </w:t>
      </w:r>
      <w:r w:rsidR="00641429" w:rsidRPr="00E56B4D">
        <w:rPr>
          <w:rFonts w:ascii="Century Schoolbook" w:hAnsi="Century Schoolbook" w:cs="Times New Roman"/>
        </w:rPr>
        <w:t>middleware and data exchange</w:t>
      </w:r>
      <w:r w:rsidR="00CA0196">
        <w:rPr>
          <w:rFonts w:ascii="Century Schoolbook" w:hAnsi="Century Schoolbook" w:cs="Times New Roman"/>
        </w:rPr>
        <w:t>s</w:t>
      </w:r>
      <w:r w:rsidR="00641429" w:rsidRPr="00E56B4D">
        <w:rPr>
          <w:rFonts w:ascii="Century Schoolbook" w:hAnsi="Century Schoolbook" w:cs="Times New Roman"/>
        </w:rPr>
        <w:t xml:space="preserve"> </w:t>
      </w:r>
      <w:r w:rsidR="00641429" w:rsidRPr="00E56B4D">
        <w:rPr>
          <w:rFonts w:ascii="Century Schoolbook" w:hAnsi="Century Schoolbook" w:cs="Times New Roman"/>
        </w:rPr>
        <w:lastRenderedPageBreak/>
        <w:t xml:space="preserve">between </w:t>
      </w:r>
      <w:r w:rsidR="00CA0196">
        <w:rPr>
          <w:rFonts w:ascii="Century Schoolbook" w:hAnsi="Century Schoolbook" w:cs="Times New Roman"/>
        </w:rPr>
        <w:t xml:space="preserve">the various courts and </w:t>
      </w:r>
      <w:r w:rsidR="00641429" w:rsidRPr="00E56B4D">
        <w:rPr>
          <w:rFonts w:ascii="Century Schoolbook" w:hAnsi="Century Schoolbook" w:cs="Times New Roman"/>
        </w:rPr>
        <w:t xml:space="preserve">state </w:t>
      </w:r>
      <w:r w:rsidR="00FD5F6F" w:rsidRPr="00E56B4D">
        <w:rPr>
          <w:rFonts w:ascii="Century Schoolbook" w:hAnsi="Century Schoolbook" w:cs="Times New Roman"/>
        </w:rPr>
        <w:t>agencies</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42"/>
      </w:r>
      <w:r w:rsidR="00641429" w:rsidRPr="00E56B4D">
        <w:rPr>
          <w:rFonts w:ascii="Century Schoolbook" w:hAnsi="Century Schoolbook" w:cs="Times New Roman"/>
        </w:rPr>
        <w:t xml:space="preserve">  </w:t>
      </w:r>
      <w:r w:rsidR="009F1F63">
        <w:rPr>
          <w:rFonts w:ascii="Century Schoolbook" w:hAnsi="Century Schoolbook" w:cs="Times New Roman"/>
        </w:rPr>
        <w:t xml:space="preserve">The best way to describe the Colorado model is to think of it as a cross between New York and California.  It has individual data information at the local court level but has created a middleware to connect these individual courts.  Colorado collaborates </w:t>
      </w:r>
      <w:r w:rsidR="00641429" w:rsidRPr="00E56B4D">
        <w:rPr>
          <w:rFonts w:ascii="Century Schoolbook" w:hAnsi="Century Schoolbook" w:cs="Times New Roman"/>
        </w:rPr>
        <w:t>between five state agencies: Colorado Department of Public Safety/Colorado Bureau of Investigation (CBI), Colorado District Attorneys Council (CDAC), Colorado Department of Corrections (DOC), Colorado Department of Human Services/Division of Youth Corrections (DYC), Colorado Judicial Branch.</w:t>
      </w:r>
      <w:r w:rsidR="00641429" w:rsidRPr="00E56B4D">
        <w:rPr>
          <w:rStyle w:val="EndnoteReference"/>
          <w:rFonts w:ascii="Century Schoolbook" w:hAnsi="Century Schoolbook" w:cs="Times New Roman"/>
        </w:rPr>
        <w:endnoteReference w:id="43"/>
      </w:r>
      <w:r w:rsidR="00641429" w:rsidRPr="00E56B4D">
        <w:rPr>
          <w:rFonts w:ascii="Century Schoolbook" w:hAnsi="Century Schoolbook" w:cs="Times New Roman"/>
        </w:rPr>
        <w:t xml:space="preserve">  </w:t>
      </w:r>
      <w:r w:rsidR="009F1F63">
        <w:rPr>
          <w:rFonts w:ascii="Century Schoolbook" w:hAnsi="Century Schoolbook" w:cs="Times New Roman"/>
        </w:rPr>
        <w:t xml:space="preserve">The </w:t>
      </w:r>
      <w:r w:rsidR="00641429" w:rsidRPr="00E56B4D">
        <w:rPr>
          <w:rFonts w:ascii="Century Schoolbook" w:hAnsi="Century Schoolbook" w:cs="Times New Roman"/>
        </w:rPr>
        <w:t xml:space="preserve">programming is the responsibility of the </w:t>
      </w:r>
      <w:r w:rsidR="009F1F63">
        <w:rPr>
          <w:rFonts w:ascii="Century Schoolbook" w:hAnsi="Century Schoolbook" w:cs="Times New Roman"/>
        </w:rPr>
        <w:t xml:space="preserve">individual </w:t>
      </w:r>
      <w:r w:rsidR="00641429" w:rsidRPr="00E56B4D">
        <w:rPr>
          <w:rFonts w:ascii="Century Schoolbook" w:hAnsi="Century Schoolbook" w:cs="Times New Roman"/>
        </w:rPr>
        <w:t>agency.</w:t>
      </w:r>
      <w:r w:rsidR="00641429" w:rsidRPr="00E56B4D">
        <w:rPr>
          <w:rStyle w:val="EndnoteReference"/>
          <w:rFonts w:ascii="Century Schoolbook" w:hAnsi="Century Schoolbook" w:cs="Times New Roman"/>
        </w:rPr>
        <w:endnoteReference w:id="44"/>
      </w:r>
      <w:r w:rsidR="00641429" w:rsidRPr="00E56B4D">
        <w:rPr>
          <w:rFonts w:ascii="Century Schoolbook" w:hAnsi="Century Schoolbook" w:cs="Times New Roman"/>
        </w:rPr>
        <w:t xml:space="preserve">  </w:t>
      </w:r>
    </w:p>
    <w:p w:rsidR="009F0ED5" w:rsidRPr="00E56B4D" w:rsidRDefault="009F1F63"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t>Colorado</w:t>
      </w:r>
      <w:r w:rsidR="005B0C1C">
        <w:rPr>
          <w:rFonts w:ascii="Century Schoolbook" w:hAnsi="Century Schoolbook" w:cs="Times New Roman"/>
        </w:rPr>
        <w:t xml:space="preserve">’s model </w:t>
      </w:r>
      <w:r w:rsidR="0062419C">
        <w:rPr>
          <w:rFonts w:ascii="Century Schoolbook" w:hAnsi="Century Schoolbook" w:cs="Times New Roman"/>
        </w:rPr>
        <w:t>is a promising method</w:t>
      </w:r>
      <w:r>
        <w:rPr>
          <w:rFonts w:ascii="Century Schoolbook" w:hAnsi="Century Schoolbook" w:cs="Times New Roman"/>
        </w:rPr>
        <w:t xml:space="preserve"> for internal data analytics</w:t>
      </w:r>
      <w:r w:rsidR="0062419C">
        <w:rPr>
          <w:rFonts w:ascii="Century Schoolbook" w:hAnsi="Century Schoolbook" w:cs="Times New Roman"/>
        </w:rPr>
        <w:t xml:space="preserve">; however, it </w:t>
      </w:r>
      <w:r>
        <w:rPr>
          <w:rFonts w:ascii="Century Schoolbook" w:hAnsi="Century Schoolbook" w:cs="Times New Roman"/>
        </w:rPr>
        <w:t xml:space="preserve">has </w:t>
      </w:r>
      <w:r w:rsidR="0062419C">
        <w:rPr>
          <w:rFonts w:ascii="Century Schoolbook" w:hAnsi="Century Schoolbook" w:cs="Times New Roman"/>
        </w:rPr>
        <w:t>public access problems as the state agencies have wide latitude and control over the data</w:t>
      </w:r>
      <w:r w:rsidR="00B23CA3">
        <w:rPr>
          <w:rFonts w:ascii="Century Schoolbook" w:hAnsi="Century Schoolbook" w:cs="Times New Roman"/>
        </w:rPr>
        <w:t xml:space="preserve">, </w:t>
      </w:r>
      <w:r w:rsidR="00C41004">
        <w:rPr>
          <w:rFonts w:ascii="Century Schoolbook" w:hAnsi="Century Schoolbook" w:cs="Times New Roman"/>
        </w:rPr>
        <w:t xml:space="preserve">while the </w:t>
      </w:r>
      <w:r w:rsidR="006F3D9F" w:rsidRPr="00E56B4D">
        <w:rPr>
          <w:rFonts w:ascii="Century Schoolbook" w:hAnsi="Century Schoolbook" w:cs="Times New Roman"/>
        </w:rPr>
        <w:t xml:space="preserve">public </w:t>
      </w:r>
      <w:r w:rsidR="00860B98">
        <w:rPr>
          <w:rFonts w:ascii="Century Schoolbook" w:hAnsi="Century Schoolbook" w:cs="Times New Roman"/>
        </w:rPr>
        <w:t xml:space="preserve">and its needs are </w:t>
      </w:r>
      <w:r w:rsidR="00EA6D72" w:rsidRPr="00E56B4D">
        <w:rPr>
          <w:rFonts w:ascii="Century Schoolbook" w:hAnsi="Century Schoolbook" w:cs="Times New Roman"/>
        </w:rPr>
        <w:t xml:space="preserve">being </w:t>
      </w:r>
      <w:r w:rsidR="006F3D9F" w:rsidRPr="00E56B4D">
        <w:rPr>
          <w:rFonts w:ascii="Century Schoolbook" w:hAnsi="Century Schoolbook" w:cs="Times New Roman"/>
        </w:rPr>
        <w:t>largely left out of these design considerations</w:t>
      </w:r>
      <w:r w:rsidR="00733B7C" w:rsidRPr="00E56B4D">
        <w:rPr>
          <w:rFonts w:ascii="Century Schoolbook" w:hAnsi="Century Schoolbook" w:cs="Times New Roman"/>
        </w:rPr>
        <w:t xml:space="preserve">.  </w:t>
      </w:r>
      <w:r w:rsidR="00C41004">
        <w:rPr>
          <w:rFonts w:ascii="Century Schoolbook" w:hAnsi="Century Schoolbook" w:cs="Times New Roman"/>
        </w:rPr>
        <w:t>T</w:t>
      </w:r>
      <w:r w:rsidR="00641429" w:rsidRPr="00E56B4D">
        <w:rPr>
          <w:rFonts w:ascii="Century Schoolbook" w:hAnsi="Century Schoolbook" w:cs="Times New Roman"/>
        </w:rPr>
        <w:t xml:space="preserve">here is </w:t>
      </w:r>
      <w:r w:rsidR="0062419C">
        <w:rPr>
          <w:rFonts w:ascii="Century Schoolbook" w:hAnsi="Century Schoolbook" w:cs="Times New Roman"/>
        </w:rPr>
        <w:t xml:space="preserve">little </w:t>
      </w:r>
      <w:r w:rsidR="00641429" w:rsidRPr="00E56B4D">
        <w:rPr>
          <w:rFonts w:ascii="Century Schoolbook" w:hAnsi="Century Schoolbook" w:cs="Times New Roman"/>
        </w:rPr>
        <w:t xml:space="preserve">access to the database </w:t>
      </w:r>
      <w:r w:rsidR="006F3D9F" w:rsidRPr="00E56B4D">
        <w:rPr>
          <w:rFonts w:ascii="Century Schoolbook" w:hAnsi="Century Schoolbook" w:cs="Times New Roman"/>
        </w:rPr>
        <w:t xml:space="preserve">by the public </w:t>
      </w:r>
      <w:r w:rsidR="00641429" w:rsidRPr="00E56B4D">
        <w:rPr>
          <w:rFonts w:ascii="Century Schoolbook" w:hAnsi="Century Schoolbook" w:cs="Times New Roman"/>
        </w:rPr>
        <w:t xml:space="preserve">that would allow for </w:t>
      </w:r>
      <w:r w:rsidR="00733B7C" w:rsidRPr="00E56B4D">
        <w:rPr>
          <w:rFonts w:ascii="Century Schoolbook" w:hAnsi="Century Schoolbook" w:cs="Times New Roman"/>
        </w:rPr>
        <w:t xml:space="preserve">comprehensive </w:t>
      </w:r>
      <w:r w:rsidR="00641429" w:rsidRPr="00E56B4D">
        <w:rPr>
          <w:rFonts w:ascii="Century Schoolbook" w:hAnsi="Century Schoolbook" w:cs="Times New Roman"/>
        </w:rPr>
        <w:t xml:space="preserve">data-mining or statistical analysis.  </w:t>
      </w:r>
      <w:r w:rsidR="00C41004">
        <w:rPr>
          <w:rFonts w:ascii="Century Schoolbook" w:hAnsi="Century Schoolbook" w:cs="Times New Roman"/>
        </w:rPr>
        <w:t>For example in the Colorado model, c</w:t>
      </w:r>
      <w:r w:rsidR="00511BAE">
        <w:rPr>
          <w:rFonts w:ascii="Century Schoolbook" w:hAnsi="Century Schoolbook" w:cs="Times New Roman"/>
        </w:rPr>
        <w:t xml:space="preserve">ertain agencies can request to </w:t>
      </w:r>
      <w:r w:rsidR="00CA0196">
        <w:rPr>
          <w:rFonts w:ascii="Century Schoolbook" w:hAnsi="Century Schoolbook" w:cs="Times New Roman"/>
        </w:rPr>
        <w:t xml:space="preserve">gain access through a </w:t>
      </w:r>
      <w:r w:rsidR="00641429" w:rsidRPr="00E56B4D">
        <w:rPr>
          <w:rFonts w:ascii="Century Schoolbook" w:hAnsi="Century Schoolbook" w:cs="Times New Roman"/>
        </w:rPr>
        <w:t>separate web portal</w:t>
      </w:r>
      <w:r w:rsidR="00B23CA3">
        <w:rPr>
          <w:rFonts w:ascii="Century Schoolbook" w:hAnsi="Century Schoolbook" w:cs="Times New Roman"/>
        </w:rPr>
        <w:t>;</w:t>
      </w:r>
      <w:r w:rsidR="00641429" w:rsidRPr="00E56B4D">
        <w:rPr>
          <w:rFonts w:ascii="Century Schoolbook" w:hAnsi="Century Schoolbook" w:cs="Times New Roman"/>
        </w:rPr>
        <w:t xml:space="preserve"> </w:t>
      </w:r>
      <w:r w:rsidR="00CA0196">
        <w:rPr>
          <w:rFonts w:ascii="Century Schoolbook" w:hAnsi="Century Schoolbook" w:cs="Times New Roman"/>
        </w:rPr>
        <w:t>however, t</w:t>
      </w:r>
      <w:r w:rsidR="00733B7C" w:rsidRPr="00E56B4D">
        <w:rPr>
          <w:rFonts w:ascii="Century Schoolbook" w:hAnsi="Century Schoolbook" w:cs="Times New Roman"/>
        </w:rPr>
        <w:t>he web portal doesn’</w:t>
      </w:r>
      <w:r w:rsidR="008B171F" w:rsidRPr="00E56B4D">
        <w:rPr>
          <w:rFonts w:ascii="Century Schoolbook" w:hAnsi="Century Schoolbook" w:cs="Times New Roman"/>
        </w:rPr>
        <w:t>t allow for large dataset retrieval or for access to all variables</w:t>
      </w:r>
      <w:r w:rsidR="00B23CA3">
        <w:rPr>
          <w:rFonts w:ascii="Century Schoolbook" w:hAnsi="Century Schoolbook" w:cs="Times New Roman"/>
        </w:rPr>
        <w:t>.</w:t>
      </w:r>
      <w:r w:rsidR="00B23CA3" w:rsidRPr="00E56B4D">
        <w:rPr>
          <w:rStyle w:val="EndnoteReference"/>
          <w:rFonts w:ascii="Century Schoolbook" w:hAnsi="Century Schoolbook" w:cs="Times New Roman"/>
        </w:rPr>
        <w:endnoteReference w:id="45"/>
      </w:r>
      <w:r w:rsidR="008B171F" w:rsidRPr="00E56B4D">
        <w:rPr>
          <w:rFonts w:ascii="Century Schoolbook" w:hAnsi="Century Schoolbook" w:cs="Times New Roman"/>
        </w:rPr>
        <w:t xml:space="preserve">  </w:t>
      </w:r>
      <w:r w:rsidR="00C41004">
        <w:rPr>
          <w:rFonts w:ascii="Century Schoolbook" w:hAnsi="Century Schoolbook" w:cs="Times New Roman"/>
        </w:rPr>
        <w:t xml:space="preserve">The portal only gives </w:t>
      </w:r>
      <w:r w:rsidR="0062419C">
        <w:rPr>
          <w:rFonts w:ascii="Century Schoolbook" w:hAnsi="Century Schoolbook" w:cs="Times New Roman"/>
        </w:rPr>
        <w:t xml:space="preserve">its data in </w:t>
      </w:r>
      <w:r w:rsidR="00C41004">
        <w:rPr>
          <w:rFonts w:ascii="Century Schoolbook" w:hAnsi="Century Schoolbook" w:cs="Times New Roman"/>
        </w:rPr>
        <w:t>a</w:t>
      </w:r>
      <w:r w:rsidR="0062419C">
        <w:rPr>
          <w:rFonts w:ascii="Century Schoolbook" w:hAnsi="Century Schoolbook" w:cs="Times New Roman"/>
        </w:rPr>
        <w:t xml:space="preserve">n </w:t>
      </w:r>
      <w:r w:rsidR="00BC25C1">
        <w:rPr>
          <w:rFonts w:ascii="Century Schoolbook" w:hAnsi="Century Schoolbook" w:cs="Times New Roman"/>
        </w:rPr>
        <w:t xml:space="preserve">HTML </w:t>
      </w:r>
      <w:r w:rsidR="0062419C">
        <w:rPr>
          <w:rFonts w:ascii="Century Schoolbook" w:hAnsi="Century Schoolbook" w:cs="Times New Roman"/>
        </w:rPr>
        <w:t>based</w:t>
      </w:r>
      <w:r w:rsidR="00C41004">
        <w:rPr>
          <w:rFonts w:ascii="Century Schoolbook" w:hAnsi="Century Schoolbook" w:cs="Times New Roman"/>
        </w:rPr>
        <w:t xml:space="preserve"> web page, which could only be extracted by inefficient means like screen scraping.  </w:t>
      </w:r>
      <w:r w:rsidR="00BC25C1">
        <w:rPr>
          <w:rFonts w:ascii="Century Schoolbook" w:hAnsi="Century Schoolbook" w:cs="Times New Roman"/>
        </w:rPr>
        <w:t>External agencies need</w:t>
      </w:r>
      <w:r w:rsidR="009707BF">
        <w:rPr>
          <w:rFonts w:ascii="Century Schoolbook" w:hAnsi="Century Schoolbook" w:cs="Times New Roman"/>
        </w:rPr>
        <w:t xml:space="preserve"> to request access to this portal.  If the agency or individual can’t access the portal, they can still obtain the court information through a public </w:t>
      </w:r>
      <w:r w:rsidR="00641429" w:rsidRPr="00E56B4D">
        <w:rPr>
          <w:rFonts w:ascii="Century Schoolbook" w:hAnsi="Century Schoolbook" w:cs="Times New Roman"/>
        </w:rPr>
        <w:t xml:space="preserve">portal </w:t>
      </w:r>
      <w:r w:rsidR="008B171F" w:rsidRPr="00E56B4D">
        <w:rPr>
          <w:rFonts w:ascii="Century Schoolbook" w:hAnsi="Century Schoolbook" w:cs="Times New Roman"/>
        </w:rPr>
        <w:t xml:space="preserve">located at the </w:t>
      </w:r>
      <w:r w:rsidR="00C41004">
        <w:rPr>
          <w:rFonts w:ascii="Century Schoolbook" w:hAnsi="Century Schoolbook" w:cs="Times New Roman"/>
        </w:rPr>
        <w:t xml:space="preserve">State </w:t>
      </w:r>
      <w:r w:rsidR="008B171F" w:rsidRPr="00E56B4D">
        <w:rPr>
          <w:rFonts w:ascii="Century Schoolbook" w:hAnsi="Century Schoolbook" w:cs="Times New Roman"/>
        </w:rPr>
        <w:t>Court</w:t>
      </w:r>
      <w:r w:rsidR="009707BF">
        <w:rPr>
          <w:rFonts w:ascii="Century Schoolbook" w:hAnsi="Century Schoolbook" w:cs="Times New Roman"/>
        </w:rPr>
        <w:t>’</w:t>
      </w:r>
      <w:r w:rsidR="008B171F" w:rsidRPr="00E56B4D">
        <w:rPr>
          <w:rFonts w:ascii="Century Schoolbook" w:hAnsi="Century Schoolbook" w:cs="Times New Roman"/>
        </w:rPr>
        <w:t>s website</w:t>
      </w:r>
      <w:r w:rsidR="00C41004">
        <w:rPr>
          <w:rFonts w:ascii="Century Schoolbook" w:hAnsi="Century Schoolbook" w:cs="Times New Roman"/>
        </w:rPr>
        <w:t xml:space="preserve">.  </w:t>
      </w:r>
      <w:r w:rsidR="009707BF">
        <w:rPr>
          <w:rFonts w:ascii="Century Schoolbook" w:hAnsi="Century Schoolbook" w:cs="Times New Roman"/>
        </w:rPr>
        <w:t xml:space="preserve">However, the </w:t>
      </w:r>
      <w:r w:rsidR="006F3D9F" w:rsidRPr="00E56B4D">
        <w:rPr>
          <w:rFonts w:ascii="Century Schoolbook" w:hAnsi="Century Schoolbook" w:cs="Times New Roman"/>
        </w:rPr>
        <w:t xml:space="preserve">public portal </w:t>
      </w:r>
      <w:r w:rsidR="009707BF">
        <w:rPr>
          <w:rFonts w:ascii="Century Schoolbook" w:hAnsi="Century Schoolbook" w:cs="Times New Roman"/>
        </w:rPr>
        <w:t xml:space="preserve">has </w:t>
      </w:r>
      <w:r w:rsidR="006F3D9F" w:rsidRPr="00E56B4D">
        <w:rPr>
          <w:rFonts w:ascii="Century Schoolbook" w:hAnsi="Century Schoolbook" w:cs="Times New Roman"/>
        </w:rPr>
        <w:t>very limited</w:t>
      </w:r>
      <w:r w:rsidR="009707BF">
        <w:rPr>
          <w:rFonts w:ascii="Century Schoolbook" w:hAnsi="Century Schoolbook" w:cs="Times New Roman"/>
        </w:rPr>
        <w:t xml:space="preserve"> data and, like the PACER system, requires payment for documents, which makes large statistical </w:t>
      </w:r>
      <w:r w:rsidR="009707BF">
        <w:rPr>
          <w:rFonts w:ascii="Century Schoolbook" w:hAnsi="Century Schoolbook" w:cs="Times New Roman"/>
        </w:rPr>
        <w:lastRenderedPageBreak/>
        <w:t>analysis virtually impossible</w:t>
      </w:r>
      <w:r w:rsidR="006F3D9F" w:rsidRPr="00E56B4D">
        <w:rPr>
          <w:rFonts w:ascii="Century Schoolbook" w:hAnsi="Century Schoolbook" w:cs="Times New Roman"/>
        </w:rPr>
        <w:t>.</w:t>
      </w:r>
      <w:r w:rsidR="00511BAE" w:rsidRPr="00E56B4D">
        <w:rPr>
          <w:rStyle w:val="EndnoteReference"/>
          <w:rFonts w:ascii="Century Schoolbook" w:hAnsi="Century Schoolbook" w:cs="Times New Roman"/>
        </w:rPr>
        <w:endnoteReference w:id="46"/>
      </w:r>
      <w:r w:rsidR="006F3D9F" w:rsidRPr="00E56B4D">
        <w:rPr>
          <w:rFonts w:ascii="Century Schoolbook" w:hAnsi="Century Schoolbook" w:cs="Times New Roman"/>
        </w:rPr>
        <w:t xml:space="preserve">  </w:t>
      </w:r>
      <w:r w:rsidR="00BA08D8">
        <w:rPr>
          <w:rFonts w:ascii="Century Schoolbook" w:hAnsi="Century Schoolbook" w:cs="Times New Roman"/>
        </w:rPr>
        <w:t>The public</w:t>
      </w:r>
      <w:r w:rsidR="00CA0196">
        <w:rPr>
          <w:rFonts w:ascii="Century Schoolbook" w:hAnsi="Century Schoolbook" w:cs="Times New Roman"/>
        </w:rPr>
        <w:t>, as opposed to the state,</w:t>
      </w:r>
      <w:r w:rsidR="00BA08D8">
        <w:rPr>
          <w:rFonts w:ascii="Century Schoolbook" w:hAnsi="Century Schoolbook" w:cs="Times New Roman"/>
        </w:rPr>
        <w:t xml:space="preserve"> is largely limited </w:t>
      </w:r>
      <w:r w:rsidR="009707BF">
        <w:rPr>
          <w:rFonts w:ascii="Century Schoolbook" w:hAnsi="Century Schoolbook" w:cs="Times New Roman"/>
        </w:rPr>
        <w:t>in</w:t>
      </w:r>
      <w:r w:rsidR="00BA08D8">
        <w:rPr>
          <w:rFonts w:ascii="Century Schoolbook" w:hAnsi="Century Schoolbook" w:cs="Times New Roman"/>
        </w:rPr>
        <w:t xml:space="preserve"> its access to </w:t>
      </w:r>
      <w:r w:rsidR="00DB0F5D">
        <w:rPr>
          <w:rFonts w:ascii="Century Schoolbook" w:hAnsi="Century Schoolbook" w:cs="Times New Roman"/>
        </w:rPr>
        <w:t>court and litigation</w:t>
      </w:r>
      <w:r w:rsidR="009707BF">
        <w:rPr>
          <w:rFonts w:ascii="Century Schoolbook" w:hAnsi="Century Schoolbook" w:cs="Times New Roman"/>
        </w:rPr>
        <w:t xml:space="preserve"> data especially data that can be </w:t>
      </w:r>
      <w:r w:rsidR="00BA08D8">
        <w:rPr>
          <w:rFonts w:ascii="Century Schoolbook" w:hAnsi="Century Schoolbook" w:cs="Times New Roman"/>
        </w:rPr>
        <w:t>mined or statistically analyzed.</w:t>
      </w:r>
    </w:p>
    <w:p w:rsidR="009F0ED5" w:rsidRPr="00E56B4D" w:rsidRDefault="009F0ED5" w:rsidP="0002068B">
      <w:pPr>
        <w:pStyle w:val="Heading"/>
        <w:spacing w:before="360" w:beforeAutospacing="1" w:after="240" w:line="480" w:lineRule="auto"/>
        <w:jc w:val="both"/>
        <w:rPr>
          <w:rFonts w:cs="Times New Roman"/>
        </w:rPr>
      </w:pPr>
      <w:bookmarkStart w:id="4" w:name="_Toc362462014"/>
      <w:r w:rsidRPr="00E56B4D">
        <w:rPr>
          <w:rFonts w:cs="Times New Roman"/>
        </w:rPr>
        <w:t>III. TRANSPARENCY AND PRIVACY</w:t>
      </w:r>
      <w:bookmarkEnd w:id="4"/>
    </w:p>
    <w:p w:rsidR="00C824EB" w:rsidRPr="00E56B4D" w:rsidRDefault="005D2D5D"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t>While the legal system understands the need for transparency, w</w:t>
      </w:r>
      <w:r w:rsidR="00AD7D4B">
        <w:rPr>
          <w:rFonts w:ascii="Century Schoolbook" w:hAnsi="Century Schoolbook" w:cs="Times New Roman"/>
        </w:rPr>
        <w:t xml:space="preserve">hat is driving this </w:t>
      </w:r>
      <w:r w:rsidR="00AD2F8A">
        <w:rPr>
          <w:rFonts w:ascii="Century Schoolbook" w:hAnsi="Century Schoolbook" w:cs="Times New Roman"/>
        </w:rPr>
        <w:t xml:space="preserve">lack of </w:t>
      </w:r>
      <w:r>
        <w:rPr>
          <w:rFonts w:ascii="Century Schoolbook" w:hAnsi="Century Schoolbook" w:cs="Times New Roman"/>
        </w:rPr>
        <w:t xml:space="preserve">access to </w:t>
      </w:r>
      <w:r w:rsidR="00C41004">
        <w:rPr>
          <w:rFonts w:ascii="Century Schoolbook" w:hAnsi="Century Schoolbook" w:cs="Times New Roman"/>
        </w:rPr>
        <w:t>the</w:t>
      </w:r>
      <w:r w:rsidR="00AD2F8A">
        <w:rPr>
          <w:rFonts w:ascii="Century Schoolbook" w:hAnsi="Century Schoolbook" w:cs="Times New Roman"/>
        </w:rPr>
        <w:t xml:space="preserve"> </w:t>
      </w:r>
      <w:r w:rsidR="00511BAE">
        <w:rPr>
          <w:rFonts w:ascii="Century Schoolbook" w:hAnsi="Century Schoolbook" w:cs="Times New Roman"/>
        </w:rPr>
        <w:t xml:space="preserve">Federal and State judicial </w:t>
      </w:r>
      <w:r>
        <w:rPr>
          <w:rFonts w:ascii="Century Schoolbook" w:hAnsi="Century Schoolbook" w:cs="Times New Roman"/>
        </w:rPr>
        <w:t xml:space="preserve">databases </w:t>
      </w:r>
      <w:r w:rsidR="00AD7D4B">
        <w:rPr>
          <w:rFonts w:ascii="Century Schoolbook" w:hAnsi="Century Schoolbook" w:cs="Times New Roman"/>
        </w:rPr>
        <w:t xml:space="preserve">is a concern </w:t>
      </w:r>
      <w:r w:rsidR="00C824EB" w:rsidRPr="00E56B4D">
        <w:rPr>
          <w:rFonts w:ascii="Century Schoolbook" w:hAnsi="Century Schoolbook" w:cs="Times New Roman"/>
        </w:rPr>
        <w:t>for privacy.</w:t>
      </w:r>
    </w:p>
    <w:p w:rsidR="00641429" w:rsidRPr="00E56B4D" w:rsidRDefault="009F0ED5" w:rsidP="0002068B">
      <w:pPr>
        <w:pStyle w:val="Heading1"/>
        <w:numPr>
          <w:ilvl w:val="0"/>
          <w:numId w:val="2"/>
        </w:numPr>
        <w:spacing w:before="100" w:beforeAutospacing="1" w:after="240" w:line="480" w:lineRule="auto"/>
        <w:jc w:val="both"/>
        <w:rPr>
          <w:rFonts w:ascii="Century Schoolbook" w:hAnsi="Century Schoolbook" w:cs="Times New Roman"/>
          <w:sz w:val="24"/>
          <w:szCs w:val="24"/>
        </w:rPr>
      </w:pPr>
      <w:bookmarkStart w:id="5" w:name="_Toc362462015"/>
      <w:r w:rsidRPr="00E56B4D">
        <w:rPr>
          <w:rFonts w:ascii="Century Schoolbook" w:hAnsi="Century Schoolbook" w:cs="Times New Roman"/>
          <w:sz w:val="24"/>
          <w:szCs w:val="24"/>
        </w:rPr>
        <w:t>Transparency</w:t>
      </w:r>
      <w:r w:rsidR="00F14BD6">
        <w:rPr>
          <w:rFonts w:ascii="Century Schoolbook" w:hAnsi="Century Schoolbook" w:cs="Times New Roman"/>
          <w:sz w:val="24"/>
          <w:szCs w:val="24"/>
        </w:rPr>
        <w:t xml:space="preserve"> </w:t>
      </w:r>
      <w:r w:rsidR="00AD2F8A">
        <w:rPr>
          <w:rFonts w:ascii="Century Schoolbook" w:hAnsi="Century Schoolbook" w:cs="Times New Roman"/>
          <w:sz w:val="24"/>
          <w:szCs w:val="24"/>
        </w:rPr>
        <w:t>Needs</w:t>
      </w:r>
      <w:bookmarkEnd w:id="5"/>
    </w:p>
    <w:p w:rsidR="00511BAE" w:rsidRDefault="004E77D6" w:rsidP="0002068B">
      <w:pPr>
        <w:pStyle w:val="Text"/>
        <w:spacing w:before="100" w:beforeAutospacing="1" w:after="240"/>
        <w:jc w:val="both"/>
        <w:rPr>
          <w:rFonts w:ascii="Century Schoolbook" w:hAnsi="Century Schoolbook" w:cs="Times New Roman"/>
        </w:rPr>
      </w:pPr>
      <w:r w:rsidRPr="00E56B4D">
        <w:rPr>
          <w:rFonts w:ascii="Century Schoolbook" w:hAnsi="Century Schoolbook" w:cs="Times New Roman"/>
        </w:rPr>
        <w:t>The goals of t</w:t>
      </w:r>
      <w:r w:rsidR="00641429" w:rsidRPr="00E56B4D">
        <w:rPr>
          <w:rFonts w:ascii="Century Schoolbook" w:hAnsi="Century Schoolbook" w:cs="Times New Roman"/>
        </w:rPr>
        <w:t xml:space="preserve">ransparency </w:t>
      </w:r>
      <w:r w:rsidRPr="00E56B4D">
        <w:rPr>
          <w:rFonts w:ascii="Century Schoolbook" w:hAnsi="Century Schoolbook" w:cs="Times New Roman"/>
        </w:rPr>
        <w:t xml:space="preserve">are to </w:t>
      </w:r>
      <w:r w:rsidR="00641429" w:rsidRPr="00E56B4D">
        <w:rPr>
          <w:rFonts w:ascii="Century Schoolbook" w:hAnsi="Century Schoolbook" w:cs="Times New Roman"/>
        </w:rPr>
        <w:t>shed light on governmental activities</w:t>
      </w:r>
      <w:r w:rsidR="00641429" w:rsidRPr="00AD7D4B">
        <w:rPr>
          <w:rFonts w:ascii="Century Schoolbook" w:hAnsi="Century Schoolbook" w:cs="Times New Roman"/>
        </w:rPr>
        <w:t>.</w:t>
      </w:r>
      <w:r w:rsidR="00641429" w:rsidRPr="00AD7D4B">
        <w:rPr>
          <w:rStyle w:val="EndnoteReference"/>
          <w:rFonts w:ascii="Century Schoolbook" w:hAnsi="Century Schoolbook" w:cs="Times New Roman"/>
        </w:rPr>
        <w:endnoteReference w:id="47"/>
      </w:r>
      <w:r w:rsidR="00641429" w:rsidRPr="00AD7D4B">
        <w:rPr>
          <w:rFonts w:ascii="Century Schoolbook" w:hAnsi="Century Schoolbook" w:cs="Times New Roman"/>
        </w:rPr>
        <w:t xml:space="preserve">  Lynn M. </w:t>
      </w:r>
      <w:proofErr w:type="spellStart"/>
      <w:r w:rsidR="00641429" w:rsidRPr="00AD7D4B">
        <w:rPr>
          <w:rFonts w:ascii="Century Schoolbook" w:hAnsi="Century Schoolbook" w:cs="Times New Roman"/>
        </w:rPr>
        <w:t>LoPucki’s</w:t>
      </w:r>
      <w:proofErr w:type="spellEnd"/>
      <w:r w:rsidR="00AD7D4B" w:rsidRPr="00AD7D4B">
        <w:rPr>
          <w:rFonts w:ascii="Century Schoolbook" w:hAnsi="Century Schoolbook" w:cs="Times New Roman"/>
        </w:rPr>
        <w:t xml:space="preserve"> law review article, </w:t>
      </w:r>
      <w:r w:rsidR="00AD7D4B" w:rsidRPr="00AD7D4B">
        <w:rPr>
          <w:rFonts w:ascii="Century Schoolbook" w:hAnsi="Century Schoolbook"/>
          <w:i/>
        </w:rPr>
        <w:t xml:space="preserve">Court-System Transparency, </w:t>
      </w:r>
      <w:r w:rsidR="00AD2F8A">
        <w:rPr>
          <w:rFonts w:ascii="Century Schoolbook" w:hAnsi="Century Schoolbook" w:cs="Times New Roman"/>
        </w:rPr>
        <w:t xml:space="preserve">enumerates the </w:t>
      </w:r>
      <w:r w:rsidR="00641429" w:rsidRPr="00AD7D4B">
        <w:rPr>
          <w:rFonts w:ascii="Century Schoolbook" w:hAnsi="Century Schoolbook" w:cs="Times New Roman"/>
        </w:rPr>
        <w:t xml:space="preserve">benefits </w:t>
      </w:r>
      <w:r w:rsidR="006339AD">
        <w:rPr>
          <w:rFonts w:ascii="Century Schoolbook" w:hAnsi="Century Schoolbook" w:cs="Times New Roman"/>
        </w:rPr>
        <w:t xml:space="preserve">of transparency </w:t>
      </w:r>
      <w:r w:rsidR="00AD2F8A">
        <w:rPr>
          <w:rFonts w:ascii="Century Schoolbook" w:hAnsi="Century Schoolbook" w:cs="Times New Roman"/>
        </w:rPr>
        <w:t xml:space="preserve">as </w:t>
      </w:r>
      <w:r w:rsidR="006339AD">
        <w:rPr>
          <w:rFonts w:ascii="Century Schoolbook" w:hAnsi="Century Schoolbook" w:cs="Times New Roman"/>
        </w:rPr>
        <w:t xml:space="preserve">being </w:t>
      </w:r>
      <w:r w:rsidR="00641429" w:rsidRPr="00AD7D4B">
        <w:rPr>
          <w:rFonts w:ascii="Century Schoolbook" w:hAnsi="Century Schoolbook" w:cs="Times New Roman"/>
        </w:rPr>
        <w:t>(1) Exposure and Reduction of Corruption, (2) Enhancemen</w:t>
      </w:r>
      <w:r w:rsidR="00641429" w:rsidRPr="00E56B4D">
        <w:rPr>
          <w:rFonts w:ascii="Century Schoolbook" w:hAnsi="Century Schoolbook" w:cs="Times New Roman"/>
        </w:rPr>
        <w:t>t of Legislative Control over the Courts, (3) Popularization of the Law, and (4) the Prediction of Litigation Outcomes.</w:t>
      </w:r>
      <w:r w:rsidR="00641429" w:rsidRPr="00E56B4D">
        <w:rPr>
          <w:rStyle w:val="EndnoteReference"/>
          <w:rFonts w:ascii="Century Schoolbook" w:hAnsi="Century Schoolbook" w:cs="Times New Roman"/>
        </w:rPr>
        <w:endnoteReference w:id="48"/>
      </w:r>
      <w:r w:rsidR="00641429" w:rsidRPr="00E56B4D">
        <w:rPr>
          <w:rFonts w:ascii="Century Schoolbook" w:hAnsi="Century Schoolbook" w:cs="Times New Roman"/>
        </w:rPr>
        <w:t xml:space="preserve">  </w:t>
      </w:r>
    </w:p>
    <w:p w:rsidR="00511BAE" w:rsidRDefault="0094735B" w:rsidP="0002068B">
      <w:pPr>
        <w:pStyle w:val="Text"/>
        <w:spacing w:before="100" w:beforeAutospacing="1" w:after="240"/>
        <w:jc w:val="both"/>
        <w:rPr>
          <w:rFonts w:ascii="Century Schoolbook" w:hAnsi="Century Schoolbook" w:cs="Times New Roman"/>
        </w:rPr>
      </w:pPr>
      <w:r w:rsidRPr="00E56B4D">
        <w:rPr>
          <w:rFonts w:ascii="Century Schoolbook" w:hAnsi="Century Schoolbook" w:cs="Times New Roman"/>
        </w:rPr>
        <w:t>E</w:t>
      </w:r>
      <w:r w:rsidR="00641429" w:rsidRPr="00E56B4D">
        <w:rPr>
          <w:rFonts w:ascii="Century Schoolbook" w:hAnsi="Century Schoolbook" w:cs="Times New Roman"/>
        </w:rPr>
        <w:t>xposure and reduction of corruption</w:t>
      </w:r>
      <w:r w:rsidRPr="00E56B4D">
        <w:rPr>
          <w:rFonts w:ascii="Century Schoolbook" w:hAnsi="Century Schoolbook" w:cs="Times New Roman"/>
        </w:rPr>
        <w:t xml:space="preserve"> happens </w:t>
      </w:r>
      <w:r w:rsidR="00641429" w:rsidRPr="00E56B4D">
        <w:rPr>
          <w:rFonts w:ascii="Century Schoolbook" w:hAnsi="Century Schoolbook" w:cs="Times New Roman"/>
        </w:rPr>
        <w:t xml:space="preserve">when </w:t>
      </w:r>
      <w:r w:rsidRPr="00E56B4D">
        <w:rPr>
          <w:rFonts w:ascii="Century Schoolbook" w:hAnsi="Century Schoolbook" w:cs="Times New Roman"/>
        </w:rPr>
        <w:t xml:space="preserve">the </w:t>
      </w:r>
      <w:r w:rsidR="00641429" w:rsidRPr="00E56B4D">
        <w:rPr>
          <w:rFonts w:ascii="Century Schoolbook" w:hAnsi="Century Schoolbook" w:cs="Times New Roman"/>
        </w:rPr>
        <w:t xml:space="preserve">government </w:t>
      </w:r>
      <w:r w:rsidRPr="00E56B4D">
        <w:rPr>
          <w:rFonts w:ascii="Century Schoolbook" w:hAnsi="Century Schoolbook" w:cs="Times New Roman"/>
        </w:rPr>
        <w:t>makes public its transactions</w:t>
      </w:r>
      <w:r w:rsidR="00B8425F">
        <w:rPr>
          <w:rFonts w:ascii="Century Schoolbook" w:hAnsi="Century Schoolbook" w:cs="Times New Roman"/>
        </w:rPr>
        <w:t xml:space="preserve"> </w:t>
      </w:r>
      <w:r w:rsidR="00AD2F8A">
        <w:rPr>
          <w:rFonts w:ascii="Century Schoolbook" w:hAnsi="Century Schoolbook" w:cs="Times New Roman"/>
        </w:rPr>
        <w:t xml:space="preserve">allowing </w:t>
      </w:r>
      <w:r w:rsidR="00641429" w:rsidRPr="00E56B4D">
        <w:rPr>
          <w:rFonts w:ascii="Century Schoolbook" w:hAnsi="Century Schoolbook" w:cs="Times New Roman"/>
        </w:rPr>
        <w:t xml:space="preserve">the public </w:t>
      </w:r>
      <w:r w:rsidR="00FD5F6F" w:rsidRPr="00E56B4D">
        <w:rPr>
          <w:rFonts w:ascii="Century Schoolbook" w:hAnsi="Century Schoolbook" w:cs="Times New Roman"/>
        </w:rPr>
        <w:t xml:space="preserve">to </w:t>
      </w:r>
      <w:r w:rsidR="00641429" w:rsidRPr="00E56B4D">
        <w:rPr>
          <w:rFonts w:ascii="Century Schoolbook" w:hAnsi="Century Schoolbook" w:cs="Times New Roman"/>
        </w:rPr>
        <w:t>discover corrupt transactions</w:t>
      </w:r>
      <w:r w:rsidR="00B8425F">
        <w:rPr>
          <w:rFonts w:ascii="Century Schoolbook" w:hAnsi="Century Schoolbook" w:cs="Times New Roman"/>
        </w:rPr>
        <w:t xml:space="preserve">.  </w:t>
      </w:r>
      <w:r w:rsidR="00AD2F8A">
        <w:rPr>
          <w:rFonts w:ascii="Century Schoolbook" w:hAnsi="Century Schoolbook" w:cs="Times New Roman"/>
        </w:rPr>
        <w:t xml:space="preserve">The </w:t>
      </w:r>
      <w:r w:rsidR="00B8425F">
        <w:rPr>
          <w:rFonts w:ascii="Century Schoolbook" w:hAnsi="Century Schoolbook" w:cs="Times New Roman"/>
        </w:rPr>
        <w:t xml:space="preserve">fear and </w:t>
      </w:r>
      <w:r w:rsidR="00641429" w:rsidRPr="00E56B4D">
        <w:rPr>
          <w:rFonts w:ascii="Century Schoolbook" w:hAnsi="Century Schoolbook" w:cs="Times New Roman"/>
        </w:rPr>
        <w:t xml:space="preserve">threat of discovery </w:t>
      </w:r>
      <w:r w:rsidR="00AD2F8A">
        <w:rPr>
          <w:rFonts w:ascii="Century Schoolbook" w:hAnsi="Century Schoolbook" w:cs="Times New Roman"/>
        </w:rPr>
        <w:t xml:space="preserve">from the public also </w:t>
      </w:r>
      <w:r w:rsidR="00641429" w:rsidRPr="00E56B4D">
        <w:rPr>
          <w:rFonts w:ascii="Century Schoolbook" w:hAnsi="Century Schoolbook" w:cs="Times New Roman"/>
        </w:rPr>
        <w:t xml:space="preserve">deters corrupt </w:t>
      </w:r>
      <w:r w:rsidR="00AD2F8A">
        <w:rPr>
          <w:rFonts w:ascii="Century Schoolbook" w:hAnsi="Century Schoolbook" w:cs="Times New Roman"/>
        </w:rPr>
        <w:t xml:space="preserve">governmental </w:t>
      </w:r>
      <w:r w:rsidR="00641429" w:rsidRPr="00E56B4D">
        <w:rPr>
          <w:rFonts w:ascii="Century Schoolbook" w:hAnsi="Century Schoolbook" w:cs="Times New Roman"/>
        </w:rPr>
        <w:t>transactions.</w:t>
      </w:r>
      <w:r w:rsidR="00641429" w:rsidRPr="00E56B4D">
        <w:rPr>
          <w:rStyle w:val="EndnoteReference"/>
          <w:rFonts w:ascii="Century Schoolbook" w:hAnsi="Century Schoolbook" w:cs="Times New Roman"/>
        </w:rPr>
        <w:endnoteReference w:id="49"/>
      </w:r>
      <w:r w:rsidR="00641429" w:rsidRPr="00E56B4D">
        <w:rPr>
          <w:rFonts w:ascii="Century Schoolbook" w:hAnsi="Century Schoolbook" w:cs="Times New Roman"/>
        </w:rPr>
        <w:t xml:space="preserve">  </w:t>
      </w:r>
      <w:r w:rsidR="006D7219">
        <w:rPr>
          <w:rFonts w:ascii="Century Schoolbook" w:hAnsi="Century Schoolbook" w:cs="Times New Roman"/>
        </w:rPr>
        <w:t>In relation to database analytics, s</w:t>
      </w:r>
      <w:r w:rsidR="00641429" w:rsidRPr="00E56B4D">
        <w:rPr>
          <w:rFonts w:ascii="Century Schoolbook" w:hAnsi="Century Schoolbook" w:cs="Times New Roman"/>
        </w:rPr>
        <w:t xml:space="preserve">tatistics on court databases </w:t>
      </w:r>
      <w:r w:rsidR="00AD2F8A">
        <w:rPr>
          <w:rFonts w:ascii="Century Schoolbook" w:hAnsi="Century Schoolbook" w:cs="Times New Roman"/>
        </w:rPr>
        <w:t xml:space="preserve">can </w:t>
      </w:r>
      <w:proofErr w:type="spellStart"/>
      <w:r w:rsidR="00D031F6">
        <w:rPr>
          <w:rFonts w:ascii="Century Schoolbook" w:hAnsi="Century Schoolbook" w:cs="Times New Roman"/>
        </w:rPr>
        <w:t>highligh</w:t>
      </w:r>
      <w:proofErr w:type="spellEnd"/>
      <w:r w:rsidR="00AD2F8A">
        <w:rPr>
          <w:rFonts w:ascii="Century Schoolbook" w:hAnsi="Century Schoolbook" w:cs="Times New Roman"/>
        </w:rPr>
        <w:t xml:space="preserve"> corrupt and biased judicial opinions </w:t>
      </w:r>
      <w:r w:rsidR="00EE4390">
        <w:rPr>
          <w:rFonts w:ascii="Century Schoolbook" w:hAnsi="Century Schoolbook" w:cs="Times New Roman"/>
        </w:rPr>
        <w:t>creating fairer and more just outcomes</w:t>
      </w:r>
      <w:r w:rsidR="00DF6132" w:rsidRPr="00E56B4D">
        <w:rPr>
          <w:rFonts w:ascii="Century Schoolbook" w:hAnsi="Century Schoolbook" w:cs="Times New Roman"/>
        </w:rPr>
        <w:t>.</w:t>
      </w:r>
      <w:r w:rsidR="00AD2F8A" w:rsidRPr="00AD2F8A">
        <w:rPr>
          <w:rStyle w:val="EndnoteReference"/>
          <w:rFonts w:ascii="Century Schoolbook" w:hAnsi="Century Schoolbook" w:cs="Times New Roman"/>
        </w:rPr>
        <w:t xml:space="preserve"> </w:t>
      </w:r>
      <w:r w:rsidR="00AD2F8A" w:rsidRPr="00E56B4D">
        <w:rPr>
          <w:rStyle w:val="EndnoteReference"/>
          <w:rFonts w:ascii="Century Schoolbook" w:hAnsi="Century Schoolbook" w:cs="Times New Roman"/>
        </w:rPr>
        <w:endnoteReference w:id="50"/>
      </w:r>
      <w:r w:rsidR="00DF6132" w:rsidRPr="00E56B4D">
        <w:rPr>
          <w:rFonts w:ascii="Century Schoolbook" w:hAnsi="Century Schoolbook" w:cs="Times New Roman"/>
        </w:rPr>
        <w:t xml:space="preserve">  </w:t>
      </w:r>
      <w:r w:rsidR="00AD7D4B">
        <w:rPr>
          <w:rFonts w:ascii="Century Schoolbook" w:hAnsi="Century Schoolbook" w:cs="Times New Roman"/>
        </w:rPr>
        <w:t xml:space="preserve"> </w:t>
      </w:r>
    </w:p>
    <w:p w:rsidR="00511BAE" w:rsidRDefault="00D031F6"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lastRenderedPageBreak/>
        <w:t>Furthermore, t</w:t>
      </w:r>
      <w:r w:rsidR="00641429" w:rsidRPr="00E56B4D">
        <w:rPr>
          <w:rFonts w:ascii="Century Schoolbook" w:hAnsi="Century Schoolbook" w:cs="Times New Roman"/>
        </w:rPr>
        <w:t xml:space="preserve">ransparency provides enhancement of legislative control over the </w:t>
      </w:r>
      <w:r w:rsidR="00FD5F6F" w:rsidRPr="00E56B4D">
        <w:rPr>
          <w:rFonts w:ascii="Century Schoolbook" w:hAnsi="Century Schoolbook" w:cs="Times New Roman"/>
        </w:rPr>
        <w:t>court's</w:t>
      </w:r>
      <w:r w:rsidR="00641429" w:rsidRPr="00E56B4D">
        <w:rPr>
          <w:rFonts w:ascii="Century Schoolbook" w:hAnsi="Century Schoolbook" w:cs="Times New Roman"/>
        </w:rPr>
        <w:t xml:space="preserve"> </w:t>
      </w:r>
      <w:r w:rsidR="00FD5F6F" w:rsidRPr="00E56B4D">
        <w:rPr>
          <w:rFonts w:ascii="Century Schoolbook" w:hAnsi="Century Schoolbook" w:cs="Times New Roman"/>
        </w:rPr>
        <w:t>system.</w:t>
      </w:r>
      <w:r w:rsidR="00641429" w:rsidRPr="00E56B4D">
        <w:rPr>
          <w:rFonts w:ascii="Century Schoolbook" w:hAnsi="Century Schoolbook" w:cs="Times New Roman"/>
        </w:rPr>
        <w:t xml:space="preserve">  </w:t>
      </w:r>
      <w:r w:rsidR="00FA4719">
        <w:rPr>
          <w:rFonts w:ascii="Century Schoolbook" w:hAnsi="Century Schoolbook" w:cs="Times New Roman"/>
        </w:rPr>
        <w:t xml:space="preserve">Legislatures will be able to measure the judicial outcomes in a statistical manner to help determine if </w:t>
      </w:r>
      <w:r w:rsidR="00AD2F8A">
        <w:rPr>
          <w:rFonts w:ascii="Century Schoolbook" w:hAnsi="Century Schoolbook" w:cs="Times New Roman"/>
        </w:rPr>
        <w:t>the results of statu</w:t>
      </w:r>
      <w:r w:rsidR="004E0F30">
        <w:rPr>
          <w:rFonts w:ascii="Century Schoolbook" w:hAnsi="Century Schoolbook" w:cs="Times New Roman"/>
        </w:rPr>
        <w:t>t</w:t>
      </w:r>
      <w:r w:rsidR="00AD2F8A">
        <w:rPr>
          <w:rFonts w:ascii="Century Schoolbook" w:hAnsi="Century Schoolbook" w:cs="Times New Roman"/>
        </w:rPr>
        <w:t xml:space="preserve">es are following </w:t>
      </w:r>
      <w:r w:rsidR="00FA4719">
        <w:rPr>
          <w:rFonts w:ascii="Century Schoolbook" w:hAnsi="Century Schoolbook" w:cs="Times New Roman"/>
        </w:rPr>
        <w:t xml:space="preserve">the original policies they desired.  </w:t>
      </w:r>
      <w:r w:rsidR="00E2141E">
        <w:rPr>
          <w:rFonts w:ascii="Century Schoolbook" w:hAnsi="Century Schoolbook" w:cs="Times New Roman"/>
        </w:rPr>
        <w:t>T</w:t>
      </w:r>
      <w:r w:rsidR="00641429" w:rsidRPr="00E56B4D">
        <w:rPr>
          <w:rFonts w:ascii="Century Schoolbook" w:hAnsi="Century Schoolbook" w:cs="Times New Roman"/>
        </w:rPr>
        <w:t xml:space="preserve">he </w:t>
      </w:r>
      <w:r w:rsidR="00AD2F8A">
        <w:rPr>
          <w:rFonts w:ascii="Century Schoolbook" w:hAnsi="Century Schoolbook" w:cs="Times New Roman"/>
        </w:rPr>
        <w:t xml:space="preserve">legislature </w:t>
      </w:r>
      <w:r w:rsidR="00E2141E">
        <w:rPr>
          <w:rFonts w:ascii="Century Schoolbook" w:hAnsi="Century Schoolbook" w:cs="Times New Roman"/>
        </w:rPr>
        <w:t xml:space="preserve">can get </w:t>
      </w:r>
      <w:r w:rsidR="00641429" w:rsidRPr="00E56B4D">
        <w:rPr>
          <w:rFonts w:ascii="Century Schoolbook" w:hAnsi="Century Schoolbook" w:cs="Times New Roman"/>
        </w:rPr>
        <w:t>insightful information on how the courts interpret</w:t>
      </w:r>
      <w:r w:rsidR="00C143B7">
        <w:rPr>
          <w:rFonts w:ascii="Century Schoolbook" w:hAnsi="Century Schoolbook" w:cs="Times New Roman"/>
        </w:rPr>
        <w:t xml:space="preserve"> their</w:t>
      </w:r>
      <w:r w:rsidR="00641429" w:rsidRPr="00E56B4D">
        <w:rPr>
          <w:rFonts w:ascii="Century Schoolbook" w:hAnsi="Century Schoolbook" w:cs="Times New Roman"/>
        </w:rPr>
        <w:t xml:space="preserve"> laws</w:t>
      </w:r>
      <w:r w:rsidR="00DF6132" w:rsidRPr="00E56B4D">
        <w:rPr>
          <w:rFonts w:ascii="Century Schoolbook" w:hAnsi="Century Schoolbook" w:cs="Times New Roman"/>
        </w:rPr>
        <w:t xml:space="preserve"> through the </w:t>
      </w:r>
      <w:r w:rsidR="00E2141E">
        <w:rPr>
          <w:rFonts w:ascii="Century Schoolbook" w:hAnsi="Century Schoolbook" w:cs="Times New Roman"/>
        </w:rPr>
        <w:t>data analytics</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51"/>
      </w:r>
      <w:r w:rsidR="00641429" w:rsidRPr="00E56B4D">
        <w:rPr>
          <w:rFonts w:ascii="Century Schoolbook" w:hAnsi="Century Schoolbook" w:cs="Times New Roman"/>
        </w:rPr>
        <w:t xml:space="preserve">  For example, between 1991 an</w:t>
      </w:r>
      <w:r w:rsidR="00B87629" w:rsidRPr="00E56B4D">
        <w:rPr>
          <w:rFonts w:ascii="Century Schoolbook" w:hAnsi="Century Schoolbook" w:cs="Times New Roman"/>
        </w:rPr>
        <w:t>d 1996</w:t>
      </w:r>
      <w:r w:rsidR="00D538F4">
        <w:rPr>
          <w:rFonts w:ascii="Century Schoolbook" w:hAnsi="Century Schoolbook" w:cs="Times New Roman"/>
        </w:rPr>
        <w:t>,</w:t>
      </w:r>
      <w:r w:rsidR="00B87629" w:rsidRPr="00E56B4D">
        <w:rPr>
          <w:rFonts w:ascii="Century Schoolbook" w:hAnsi="Century Schoolbook" w:cs="Times New Roman"/>
        </w:rPr>
        <w:t xml:space="preserve"> Dela</w:t>
      </w:r>
      <w:r w:rsidR="00641429" w:rsidRPr="00E56B4D">
        <w:rPr>
          <w:rFonts w:ascii="Century Schoolbook" w:hAnsi="Century Schoolbook" w:cs="Times New Roman"/>
        </w:rPr>
        <w:t xml:space="preserve">ware required that businesses filing for chapter 11 confirm </w:t>
      </w:r>
      <w:r w:rsidR="00D538F4">
        <w:rPr>
          <w:rFonts w:ascii="Century Schoolbook" w:hAnsi="Century Schoolbook" w:cs="Times New Roman"/>
        </w:rPr>
        <w:t xml:space="preserve">to the courts </w:t>
      </w:r>
      <w:r w:rsidR="00641429" w:rsidRPr="00E56B4D">
        <w:rPr>
          <w:rFonts w:ascii="Century Schoolbook" w:hAnsi="Century Schoolbook" w:cs="Times New Roman"/>
        </w:rPr>
        <w:t xml:space="preserve">that the bankruptcy would not be followed by </w:t>
      </w:r>
      <w:r w:rsidR="00FD5F6F" w:rsidRPr="00E56B4D">
        <w:rPr>
          <w:rFonts w:ascii="Century Schoolbook" w:hAnsi="Century Schoolbook" w:cs="Times New Roman"/>
        </w:rPr>
        <w:t xml:space="preserve">liquidation </w:t>
      </w:r>
      <w:r w:rsidR="00641429" w:rsidRPr="00E56B4D">
        <w:rPr>
          <w:rFonts w:ascii="Century Schoolbook" w:hAnsi="Century Schoolbook" w:cs="Times New Roman"/>
        </w:rPr>
        <w:t>or other debtor related reorganization.</w:t>
      </w:r>
      <w:r w:rsidR="00641429" w:rsidRPr="00E56B4D">
        <w:rPr>
          <w:rStyle w:val="EndnoteReference"/>
          <w:rFonts w:ascii="Century Schoolbook" w:hAnsi="Century Schoolbook" w:cs="Times New Roman"/>
        </w:rPr>
        <w:endnoteReference w:id="52"/>
      </w:r>
      <w:r w:rsidR="00641429" w:rsidRPr="00E56B4D">
        <w:rPr>
          <w:rFonts w:ascii="Century Schoolbook" w:hAnsi="Century Schoolbook" w:cs="Times New Roman"/>
        </w:rPr>
        <w:t xml:space="preserve">  </w:t>
      </w:r>
      <w:r w:rsidR="00A46B7D" w:rsidRPr="00E56B4D">
        <w:rPr>
          <w:rFonts w:ascii="Century Schoolbook" w:hAnsi="Century Schoolbook" w:cs="Times New Roman"/>
        </w:rPr>
        <w:t>The judges continued this policy</w:t>
      </w:r>
      <w:r w:rsidR="00C824EB" w:rsidRPr="00E56B4D">
        <w:rPr>
          <w:rFonts w:ascii="Century Schoolbook" w:hAnsi="Century Schoolbook" w:cs="Times New Roman"/>
        </w:rPr>
        <w:t xml:space="preserve"> </w:t>
      </w:r>
      <w:r w:rsidR="0089503C">
        <w:rPr>
          <w:rFonts w:ascii="Century Schoolbook" w:hAnsi="Century Schoolbook" w:cs="Times New Roman"/>
        </w:rPr>
        <w:t>following the requirements of the legislature</w:t>
      </w:r>
      <w:r w:rsidR="00A46B7D" w:rsidRPr="00E56B4D">
        <w:rPr>
          <w:rFonts w:ascii="Century Schoolbook" w:hAnsi="Century Schoolbook" w:cs="Times New Roman"/>
        </w:rPr>
        <w:t xml:space="preserve">.  </w:t>
      </w:r>
      <w:r w:rsidR="0009755B">
        <w:rPr>
          <w:rFonts w:ascii="Century Schoolbook" w:hAnsi="Century Schoolbook" w:cs="Times New Roman"/>
        </w:rPr>
        <w:t>A s</w:t>
      </w:r>
      <w:r w:rsidR="0009755B" w:rsidRPr="00E56B4D">
        <w:rPr>
          <w:rFonts w:ascii="Century Schoolbook" w:hAnsi="Century Schoolbook" w:cs="Times New Roman"/>
        </w:rPr>
        <w:t>tatistical analysis</w:t>
      </w:r>
      <w:r w:rsidR="0089503C">
        <w:rPr>
          <w:rFonts w:ascii="Century Schoolbook" w:hAnsi="Century Schoolbook" w:cs="Times New Roman"/>
        </w:rPr>
        <w:t xml:space="preserve"> </w:t>
      </w:r>
      <w:r w:rsidR="0009755B">
        <w:rPr>
          <w:rFonts w:ascii="Century Schoolbook" w:hAnsi="Century Schoolbook" w:cs="Times New Roman"/>
        </w:rPr>
        <w:t xml:space="preserve">of court proceedings and the businesses had been run </w:t>
      </w:r>
      <w:r w:rsidR="00A46B7D" w:rsidRPr="00E56B4D">
        <w:rPr>
          <w:rFonts w:ascii="Century Schoolbook" w:hAnsi="Century Schoolbook" w:cs="Times New Roman"/>
        </w:rPr>
        <w:t>in 1996</w:t>
      </w:r>
      <w:r w:rsidR="0009755B">
        <w:rPr>
          <w:rFonts w:ascii="Century Schoolbook" w:hAnsi="Century Schoolbook" w:cs="Times New Roman"/>
        </w:rPr>
        <w:t>, which</w:t>
      </w:r>
      <w:r w:rsidR="00A46B7D" w:rsidRPr="00E56B4D">
        <w:rPr>
          <w:rFonts w:ascii="Century Schoolbook" w:hAnsi="Century Schoolbook" w:cs="Times New Roman"/>
        </w:rPr>
        <w:t xml:space="preserve"> </w:t>
      </w:r>
      <w:r w:rsidR="00641429" w:rsidRPr="00E56B4D">
        <w:rPr>
          <w:rFonts w:ascii="Century Schoolbook" w:hAnsi="Century Schoolbook" w:cs="Times New Roman"/>
        </w:rPr>
        <w:t xml:space="preserve">found that 54% of the companies </w:t>
      </w:r>
      <w:r w:rsidR="00D538F4">
        <w:rPr>
          <w:rFonts w:ascii="Century Schoolbook" w:hAnsi="Century Schoolbook" w:cs="Times New Roman"/>
        </w:rPr>
        <w:t xml:space="preserve">that had made the confirmation </w:t>
      </w:r>
      <w:r w:rsidR="00641429" w:rsidRPr="00E56B4D">
        <w:rPr>
          <w:rFonts w:ascii="Century Schoolbook" w:hAnsi="Century Schoolbook" w:cs="Times New Roman"/>
        </w:rPr>
        <w:t>had filed a second bankruptcy or had been liquidated</w:t>
      </w:r>
      <w:r w:rsidR="0089503C">
        <w:rPr>
          <w:rFonts w:ascii="Century Schoolbook" w:hAnsi="Century Schoolbook" w:cs="Times New Roman"/>
        </w:rPr>
        <w:t xml:space="preserve"> in contradiction to what the judges</w:t>
      </w:r>
      <w:r w:rsidR="00C143B7">
        <w:rPr>
          <w:rFonts w:ascii="Century Schoolbook" w:hAnsi="Century Schoolbook" w:cs="Times New Roman"/>
        </w:rPr>
        <w:t xml:space="preserve"> had </w:t>
      </w:r>
      <w:r w:rsidR="0009755B">
        <w:rPr>
          <w:rFonts w:ascii="Century Schoolbook" w:hAnsi="Century Schoolbook" w:cs="Times New Roman"/>
        </w:rPr>
        <w:t>predicted following the legislative guidelines</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53"/>
      </w:r>
      <w:r w:rsidR="00641429" w:rsidRPr="00E56B4D">
        <w:rPr>
          <w:rFonts w:ascii="Century Schoolbook" w:hAnsi="Century Schoolbook" w:cs="Times New Roman"/>
        </w:rPr>
        <w:t xml:space="preserve">  </w:t>
      </w:r>
      <w:r w:rsidR="00D538F4">
        <w:rPr>
          <w:rFonts w:ascii="Century Schoolbook" w:hAnsi="Century Schoolbook" w:cs="Times New Roman"/>
        </w:rPr>
        <w:t xml:space="preserve">Delaware </w:t>
      </w:r>
      <w:r w:rsidR="00641429" w:rsidRPr="00E56B4D">
        <w:rPr>
          <w:rFonts w:ascii="Century Schoolbook" w:hAnsi="Century Schoolbook" w:cs="Times New Roman"/>
        </w:rPr>
        <w:t xml:space="preserve">judges were </w:t>
      </w:r>
      <w:r w:rsidR="00D538F4">
        <w:rPr>
          <w:rFonts w:ascii="Century Schoolbook" w:hAnsi="Century Schoolbook" w:cs="Times New Roman"/>
        </w:rPr>
        <w:t>able to heighten the confirmation requirement based on this data</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54"/>
      </w:r>
      <w:r w:rsidR="00D538F4">
        <w:rPr>
          <w:rFonts w:ascii="Century Schoolbook" w:hAnsi="Century Schoolbook" w:cs="Times New Roman"/>
        </w:rPr>
        <w:t xml:space="preserve">  </w:t>
      </w:r>
      <w:r w:rsidR="0089503C">
        <w:rPr>
          <w:rFonts w:ascii="Century Schoolbook" w:hAnsi="Century Schoolbook" w:cs="Times New Roman"/>
        </w:rPr>
        <w:t>Both the legislature and judicial branch in Delaware had to reconsider the confirmation requirement.</w:t>
      </w:r>
    </w:p>
    <w:p w:rsidR="00511BAE" w:rsidRDefault="0089503C" w:rsidP="0089503C">
      <w:pPr>
        <w:pStyle w:val="Text"/>
        <w:spacing w:before="100" w:beforeAutospacing="1" w:after="240"/>
        <w:jc w:val="both"/>
        <w:rPr>
          <w:rFonts w:ascii="Century Schoolbook" w:hAnsi="Century Schoolbook" w:cs="Times New Roman"/>
        </w:rPr>
      </w:pPr>
      <w:r>
        <w:rPr>
          <w:rFonts w:ascii="Century Schoolbook" w:hAnsi="Century Schoolbook" w:cs="Times New Roman"/>
        </w:rPr>
        <w:t xml:space="preserve">Transparency </w:t>
      </w:r>
      <w:r w:rsidR="00B8425F" w:rsidRPr="00E56B4D">
        <w:rPr>
          <w:rFonts w:ascii="Century Schoolbook" w:hAnsi="Century Schoolbook" w:cs="Times New Roman"/>
        </w:rPr>
        <w:t>popularizes</w:t>
      </w:r>
      <w:r w:rsidR="00641429" w:rsidRPr="00E56B4D">
        <w:rPr>
          <w:rFonts w:ascii="Century Schoolbook" w:hAnsi="Century Schoolbook" w:cs="Times New Roman"/>
        </w:rPr>
        <w:t xml:space="preserve"> the law by revealing to the public the rules that govern them.</w:t>
      </w:r>
      <w:r w:rsidR="00641429" w:rsidRPr="00E56B4D">
        <w:rPr>
          <w:rStyle w:val="EndnoteReference"/>
          <w:rFonts w:ascii="Century Schoolbook" w:hAnsi="Century Schoolbook" w:cs="Times New Roman"/>
        </w:rPr>
        <w:endnoteReference w:id="55"/>
      </w:r>
      <w:r w:rsidR="00641429" w:rsidRPr="00E56B4D">
        <w:rPr>
          <w:rFonts w:ascii="Century Schoolbook" w:hAnsi="Century Schoolbook" w:cs="Times New Roman"/>
        </w:rPr>
        <w:t xml:space="preserve">  The statistical analysis via transparency would make the public more aware of what actually rules or governs them.  An example </w:t>
      </w:r>
      <w:r>
        <w:rPr>
          <w:rFonts w:ascii="Century Schoolbook" w:hAnsi="Century Schoolbook" w:cs="Times New Roman"/>
        </w:rPr>
        <w:t xml:space="preserve">found </w:t>
      </w:r>
      <w:r w:rsidR="00641429" w:rsidRPr="00E56B4D">
        <w:rPr>
          <w:rFonts w:ascii="Century Schoolbook" w:hAnsi="Century Schoolbook" w:cs="Times New Roman"/>
        </w:rPr>
        <w:t xml:space="preserve">by </w:t>
      </w:r>
      <w:r w:rsidRPr="0089503C">
        <w:rPr>
          <w:rFonts w:ascii="Century Schoolbook" w:hAnsi="Century Schoolbook" w:cs="Times New Roman"/>
        </w:rPr>
        <w:t xml:space="preserve">Lynn M. </w:t>
      </w:r>
      <w:proofErr w:type="spellStart"/>
      <w:r w:rsidRPr="0089503C">
        <w:rPr>
          <w:rFonts w:ascii="Century Schoolbook" w:hAnsi="Century Schoolbook" w:cs="Times New Roman"/>
        </w:rPr>
        <w:t>LoPucki</w:t>
      </w:r>
      <w:proofErr w:type="spellEnd"/>
      <w:r>
        <w:rPr>
          <w:rFonts w:ascii="Century Schoolbook" w:hAnsi="Century Schoolbook" w:cs="Times New Roman"/>
        </w:rPr>
        <w:t>, in a paper on transparency and data</w:t>
      </w:r>
      <w:r w:rsidR="00641429" w:rsidRPr="00E56B4D">
        <w:rPr>
          <w:rFonts w:ascii="Century Schoolbook" w:hAnsi="Century Schoolbook" w:cs="Times New Roman"/>
        </w:rPr>
        <w:t xml:space="preserve">, would start with a regression analysis on the body of cases challenging </w:t>
      </w:r>
      <w:proofErr w:type="spellStart"/>
      <w:r w:rsidR="00641429" w:rsidRPr="00E56B4D">
        <w:rPr>
          <w:rFonts w:ascii="Century Schoolbook" w:hAnsi="Century Schoolbook" w:cs="Times New Roman"/>
        </w:rPr>
        <w:t>clickwrap</w:t>
      </w:r>
      <w:proofErr w:type="spellEnd"/>
      <w:r w:rsidR="00641429" w:rsidRPr="00E56B4D">
        <w:rPr>
          <w:rFonts w:ascii="Century Schoolbook" w:hAnsi="Century Schoolbook" w:cs="Times New Roman"/>
        </w:rPr>
        <w:t xml:space="preserve"> </w:t>
      </w:r>
      <w:r w:rsidR="00A46B7D" w:rsidRPr="00E56B4D">
        <w:rPr>
          <w:rFonts w:ascii="Century Schoolbook" w:hAnsi="Century Schoolbook" w:cs="Times New Roman"/>
        </w:rPr>
        <w:t>contracts</w:t>
      </w:r>
      <w:r>
        <w:rPr>
          <w:rFonts w:ascii="Century Schoolbook" w:hAnsi="Century Schoolbook" w:cs="Times New Roman"/>
        </w:rPr>
        <w:t xml:space="preserve">.  </w:t>
      </w:r>
      <w:proofErr w:type="spellStart"/>
      <w:r>
        <w:rPr>
          <w:rFonts w:ascii="Century Schoolbook" w:hAnsi="Century Schoolbook" w:cs="Times New Roman"/>
        </w:rPr>
        <w:t>Clickwrap</w:t>
      </w:r>
      <w:proofErr w:type="spellEnd"/>
      <w:r>
        <w:rPr>
          <w:rFonts w:ascii="Century Schoolbook" w:hAnsi="Century Schoolbook" w:cs="Times New Roman"/>
        </w:rPr>
        <w:t xml:space="preserve"> contracts are the ubiquitous internet contracts that users click on to gain access to online websites.  </w:t>
      </w:r>
      <w:r w:rsidR="00A141D8">
        <w:rPr>
          <w:rFonts w:ascii="Century Schoolbook" w:hAnsi="Century Schoolbook" w:cs="Times New Roman"/>
        </w:rPr>
        <w:t>Having access to judicial data a r</w:t>
      </w:r>
      <w:r>
        <w:rPr>
          <w:rFonts w:ascii="Century Schoolbook" w:hAnsi="Century Schoolbook" w:cs="Times New Roman"/>
        </w:rPr>
        <w:t xml:space="preserve">egression analysis </w:t>
      </w:r>
      <w:r w:rsidR="00A141D8">
        <w:rPr>
          <w:rFonts w:ascii="Century Schoolbook" w:hAnsi="Century Schoolbook" w:cs="Times New Roman"/>
        </w:rPr>
        <w:t xml:space="preserve">could be done to </w:t>
      </w:r>
      <w:r w:rsidR="00641429" w:rsidRPr="00E56B4D">
        <w:rPr>
          <w:rFonts w:ascii="Century Schoolbook" w:hAnsi="Century Schoolbook" w:cs="Times New Roman"/>
        </w:rPr>
        <w:lastRenderedPageBreak/>
        <w:t>uncove</w:t>
      </w:r>
      <w:r>
        <w:rPr>
          <w:rFonts w:ascii="Century Schoolbook" w:hAnsi="Century Schoolbook" w:cs="Times New Roman"/>
        </w:rPr>
        <w:t>r</w:t>
      </w:r>
      <w:r w:rsidR="00641429" w:rsidRPr="00E56B4D">
        <w:rPr>
          <w:rFonts w:ascii="Century Schoolbook" w:hAnsi="Century Schoolbook" w:cs="Times New Roman"/>
        </w:rPr>
        <w:t xml:space="preserve"> which </w:t>
      </w:r>
      <w:proofErr w:type="spellStart"/>
      <w:r w:rsidR="00641429" w:rsidRPr="00E56B4D">
        <w:rPr>
          <w:rFonts w:ascii="Century Schoolbook" w:hAnsi="Century Schoolbook" w:cs="Times New Roman"/>
        </w:rPr>
        <w:t>clickwrap</w:t>
      </w:r>
      <w:proofErr w:type="spellEnd"/>
      <w:r w:rsidR="00641429" w:rsidRPr="00E56B4D">
        <w:rPr>
          <w:rFonts w:ascii="Century Schoolbook" w:hAnsi="Century Schoolbook" w:cs="Times New Roman"/>
        </w:rPr>
        <w:t xml:space="preserve"> terms were being enforced and the statistical likelihood of enforcement.</w:t>
      </w:r>
      <w:r w:rsidR="00641429" w:rsidRPr="00E56B4D">
        <w:rPr>
          <w:rStyle w:val="EndnoteReference"/>
          <w:rFonts w:ascii="Century Schoolbook" w:hAnsi="Century Schoolbook" w:cs="Times New Roman"/>
        </w:rPr>
        <w:endnoteReference w:id="56"/>
      </w:r>
      <w:r w:rsidR="00641429" w:rsidRPr="00E56B4D">
        <w:rPr>
          <w:rFonts w:ascii="Century Schoolbook" w:hAnsi="Century Schoolbook" w:cs="Times New Roman"/>
        </w:rPr>
        <w:t xml:space="preserve">  </w:t>
      </w:r>
      <w:r>
        <w:rPr>
          <w:rFonts w:ascii="Century Schoolbook" w:hAnsi="Century Schoolbook" w:cs="Times New Roman"/>
        </w:rPr>
        <w:t xml:space="preserve">They </w:t>
      </w:r>
      <w:r w:rsidR="00A141D8">
        <w:rPr>
          <w:rFonts w:ascii="Century Schoolbook" w:hAnsi="Century Schoolbook" w:cs="Times New Roman"/>
        </w:rPr>
        <w:t xml:space="preserve">could </w:t>
      </w:r>
      <w:r w:rsidR="00641429" w:rsidRPr="00E56B4D">
        <w:rPr>
          <w:rFonts w:ascii="Century Schoolbook" w:hAnsi="Century Schoolbook" w:cs="Times New Roman"/>
        </w:rPr>
        <w:t xml:space="preserve">be published in an academic journal, provided to the media, displayed on the internet, or actually </w:t>
      </w:r>
      <w:r w:rsidR="00AC6724" w:rsidRPr="00E56B4D">
        <w:rPr>
          <w:rFonts w:ascii="Century Schoolbook" w:hAnsi="Century Schoolbook" w:cs="Times New Roman"/>
        </w:rPr>
        <w:t>embed</w:t>
      </w:r>
      <w:r w:rsidR="00AC6724">
        <w:rPr>
          <w:rFonts w:ascii="Century Schoolbook" w:hAnsi="Century Schoolbook" w:cs="Times New Roman"/>
        </w:rPr>
        <w:t>ded</w:t>
      </w:r>
      <w:r w:rsidR="00641429" w:rsidRPr="00E56B4D">
        <w:rPr>
          <w:rFonts w:ascii="Century Schoolbook" w:hAnsi="Century Schoolbook" w:cs="Times New Roman"/>
        </w:rPr>
        <w:t xml:space="preserve"> in the software to make them readily available to users.</w:t>
      </w:r>
      <w:r w:rsidR="00641429" w:rsidRPr="00E56B4D">
        <w:rPr>
          <w:rStyle w:val="EndnoteReference"/>
          <w:rFonts w:ascii="Century Schoolbook" w:hAnsi="Century Schoolbook" w:cs="Times New Roman"/>
        </w:rPr>
        <w:endnoteReference w:id="57"/>
      </w:r>
      <w:r w:rsidR="00641429" w:rsidRPr="00E56B4D">
        <w:rPr>
          <w:rFonts w:ascii="Century Schoolbook" w:hAnsi="Century Schoolbook" w:cs="Times New Roman"/>
        </w:rPr>
        <w:t xml:space="preserve">  The software end-user could more intelligently decide whether or when to enter into the agreement.</w:t>
      </w:r>
      <w:r w:rsidR="00641429" w:rsidRPr="00E56B4D">
        <w:rPr>
          <w:rStyle w:val="EndnoteReference"/>
          <w:rFonts w:ascii="Century Schoolbook" w:hAnsi="Century Schoolbook" w:cs="Times New Roman"/>
        </w:rPr>
        <w:endnoteReference w:id="58"/>
      </w:r>
      <w:r w:rsidR="00641429" w:rsidRPr="00E56B4D">
        <w:rPr>
          <w:rFonts w:ascii="Century Schoolbook" w:hAnsi="Century Schoolbook" w:cs="Times New Roman"/>
        </w:rPr>
        <w:t xml:space="preserve">  </w:t>
      </w:r>
      <w:r w:rsidR="00A46B7D" w:rsidRPr="00E56B4D">
        <w:rPr>
          <w:rFonts w:ascii="Century Schoolbook" w:hAnsi="Century Schoolbook" w:cs="Times New Roman"/>
        </w:rPr>
        <w:t>As click-wrap contracts become large</w:t>
      </w:r>
      <w:r w:rsidR="00B8425F">
        <w:rPr>
          <w:rFonts w:ascii="Century Schoolbook" w:hAnsi="Century Schoolbook" w:cs="Times New Roman"/>
        </w:rPr>
        <w:t>r</w:t>
      </w:r>
      <w:r w:rsidR="00A46B7D" w:rsidRPr="00E56B4D">
        <w:rPr>
          <w:rFonts w:ascii="Century Schoolbook" w:hAnsi="Century Schoolbook" w:cs="Times New Roman"/>
        </w:rPr>
        <w:t xml:space="preserve"> and </w:t>
      </w:r>
      <w:r w:rsidR="00B8425F">
        <w:rPr>
          <w:rFonts w:ascii="Century Schoolbook" w:hAnsi="Century Schoolbook" w:cs="Times New Roman"/>
        </w:rPr>
        <w:t xml:space="preserve">more </w:t>
      </w:r>
      <w:r w:rsidR="00A46B7D" w:rsidRPr="00E56B4D">
        <w:rPr>
          <w:rFonts w:ascii="Century Schoolbook" w:hAnsi="Century Schoolbook" w:cs="Times New Roman"/>
        </w:rPr>
        <w:t xml:space="preserve">ubiquitous, many users don’t pay them much </w:t>
      </w:r>
      <w:r w:rsidR="00104FEA">
        <w:rPr>
          <w:rFonts w:ascii="Century Schoolbook" w:hAnsi="Century Schoolbook" w:cs="Times New Roman"/>
        </w:rPr>
        <w:t>attention</w:t>
      </w:r>
      <w:r w:rsidR="00A46B7D" w:rsidRPr="00E56B4D">
        <w:rPr>
          <w:rFonts w:ascii="Century Schoolbook" w:hAnsi="Century Schoolbook" w:cs="Times New Roman"/>
        </w:rPr>
        <w:t xml:space="preserve">, but </w:t>
      </w:r>
      <w:r w:rsidR="00D538F4">
        <w:rPr>
          <w:rFonts w:ascii="Century Schoolbook" w:hAnsi="Century Schoolbook" w:cs="Times New Roman"/>
        </w:rPr>
        <w:t xml:space="preserve">making </w:t>
      </w:r>
      <w:r w:rsidR="00A46B7D" w:rsidRPr="00E56B4D">
        <w:rPr>
          <w:rFonts w:ascii="Century Schoolbook" w:hAnsi="Century Schoolbook" w:cs="Times New Roman"/>
        </w:rPr>
        <w:t>statistically important sections</w:t>
      </w:r>
      <w:r w:rsidR="00D538F4">
        <w:rPr>
          <w:rFonts w:ascii="Century Schoolbook" w:hAnsi="Century Schoolbook" w:cs="Times New Roman"/>
        </w:rPr>
        <w:t xml:space="preserve"> more popular</w:t>
      </w:r>
      <w:r w:rsidR="00A46B7D" w:rsidRPr="00E56B4D">
        <w:rPr>
          <w:rFonts w:ascii="Century Schoolbook" w:hAnsi="Century Schoolbook" w:cs="Times New Roman"/>
        </w:rPr>
        <w:t xml:space="preserve">, the end-user </w:t>
      </w:r>
      <w:r w:rsidR="00EF31E5">
        <w:rPr>
          <w:rFonts w:ascii="Century Schoolbook" w:hAnsi="Century Schoolbook" w:cs="Times New Roman"/>
        </w:rPr>
        <w:t xml:space="preserve">can </w:t>
      </w:r>
      <w:r w:rsidR="00A46B7D" w:rsidRPr="00E56B4D">
        <w:rPr>
          <w:rFonts w:ascii="Century Schoolbook" w:hAnsi="Century Schoolbook" w:cs="Times New Roman"/>
        </w:rPr>
        <w:t xml:space="preserve">verify </w:t>
      </w:r>
      <w:r w:rsidR="00EF31E5">
        <w:rPr>
          <w:rFonts w:ascii="Century Schoolbook" w:hAnsi="Century Schoolbook" w:cs="Times New Roman"/>
        </w:rPr>
        <w:t xml:space="preserve">those </w:t>
      </w:r>
      <w:r w:rsidR="00A46B7D" w:rsidRPr="00E56B4D">
        <w:rPr>
          <w:rFonts w:ascii="Century Schoolbook" w:hAnsi="Century Schoolbook" w:cs="Times New Roman"/>
        </w:rPr>
        <w:t>section</w:t>
      </w:r>
      <w:r w:rsidR="00EF31E5">
        <w:rPr>
          <w:rFonts w:ascii="Century Schoolbook" w:hAnsi="Century Schoolbook" w:cs="Times New Roman"/>
        </w:rPr>
        <w:t>s</w:t>
      </w:r>
      <w:r w:rsidR="00A46B7D" w:rsidRPr="00E56B4D">
        <w:rPr>
          <w:rFonts w:ascii="Century Schoolbook" w:hAnsi="Century Schoolbook" w:cs="Times New Roman"/>
        </w:rPr>
        <w:t xml:space="preserve"> before signing into the contra</w:t>
      </w:r>
      <w:r w:rsidR="00104FEA">
        <w:rPr>
          <w:rFonts w:ascii="Century Schoolbook" w:hAnsi="Century Schoolbook" w:cs="Times New Roman"/>
        </w:rPr>
        <w:t>ct.</w:t>
      </w:r>
    </w:p>
    <w:p w:rsidR="00641429" w:rsidRDefault="00641429" w:rsidP="0002068B">
      <w:pPr>
        <w:pStyle w:val="Text"/>
        <w:spacing w:before="100" w:beforeAutospacing="1" w:after="240"/>
        <w:jc w:val="both"/>
        <w:rPr>
          <w:rFonts w:ascii="Century Schoolbook" w:hAnsi="Century Schoolbook" w:cs="Times New Roman"/>
        </w:rPr>
      </w:pPr>
      <w:r w:rsidRPr="00E56B4D">
        <w:rPr>
          <w:rFonts w:ascii="Century Schoolbook" w:hAnsi="Century Schoolbook" w:cs="Times New Roman"/>
        </w:rPr>
        <w:t xml:space="preserve">Transparency also helps lawyers </w:t>
      </w:r>
      <w:r w:rsidR="00EB582D">
        <w:rPr>
          <w:rFonts w:ascii="Century Schoolbook" w:hAnsi="Century Schoolbook" w:cs="Times New Roman"/>
        </w:rPr>
        <w:t xml:space="preserve">and laypeople </w:t>
      </w:r>
      <w:r w:rsidRPr="00E56B4D">
        <w:rPr>
          <w:rFonts w:ascii="Century Schoolbook" w:hAnsi="Century Schoolbook" w:cs="Times New Roman"/>
        </w:rPr>
        <w:t>in</w:t>
      </w:r>
      <w:r w:rsidR="00B8425F">
        <w:rPr>
          <w:rFonts w:ascii="Century Schoolbook" w:hAnsi="Century Schoolbook" w:cs="Times New Roman"/>
        </w:rPr>
        <w:t xml:space="preserve"> the</w:t>
      </w:r>
      <w:r w:rsidRPr="00E56B4D">
        <w:rPr>
          <w:rFonts w:ascii="Century Schoolbook" w:hAnsi="Century Schoolbook" w:cs="Times New Roman"/>
        </w:rPr>
        <w:t xml:space="preserve"> prediction of litigation outcomes.</w:t>
      </w:r>
      <w:r w:rsidRPr="00E56B4D">
        <w:rPr>
          <w:rStyle w:val="EndnoteReference"/>
          <w:rFonts w:ascii="Century Schoolbook" w:hAnsi="Century Schoolbook" w:cs="Times New Roman"/>
        </w:rPr>
        <w:endnoteReference w:id="59"/>
      </w:r>
      <w:r w:rsidRPr="00E56B4D">
        <w:rPr>
          <w:rFonts w:ascii="Century Schoolbook" w:hAnsi="Century Schoolbook" w:cs="Times New Roman"/>
        </w:rPr>
        <w:t xml:space="preserve">  Oliver Wendell Holmes’s defined law </w:t>
      </w:r>
      <w:r w:rsidR="00EF31E5">
        <w:rPr>
          <w:rFonts w:ascii="Century Schoolbook" w:hAnsi="Century Schoolbook" w:cs="Times New Roman"/>
        </w:rPr>
        <w:t xml:space="preserve">when </w:t>
      </w:r>
      <w:r w:rsidR="00FA4719">
        <w:rPr>
          <w:rFonts w:ascii="Century Schoolbook" w:hAnsi="Century Schoolbook" w:cs="Times New Roman"/>
        </w:rPr>
        <w:t xml:space="preserve">he </w:t>
      </w:r>
      <w:r w:rsidRPr="00E56B4D">
        <w:rPr>
          <w:rFonts w:ascii="Century Schoolbook" w:hAnsi="Century Schoolbook" w:cs="Times New Roman"/>
        </w:rPr>
        <w:t>wrote that “[t]</w:t>
      </w:r>
      <w:proofErr w:type="gramStart"/>
      <w:r w:rsidRPr="00E56B4D">
        <w:rPr>
          <w:rFonts w:ascii="Century Schoolbook" w:hAnsi="Century Schoolbook" w:cs="Times New Roman"/>
        </w:rPr>
        <w:t>he</w:t>
      </w:r>
      <w:proofErr w:type="gramEnd"/>
      <w:r w:rsidRPr="00E56B4D">
        <w:rPr>
          <w:rFonts w:ascii="Century Schoolbook" w:hAnsi="Century Schoolbook" w:cs="Times New Roman"/>
        </w:rPr>
        <w:t xml:space="preserve"> </w:t>
      </w:r>
      <w:r w:rsidR="00B8425F">
        <w:rPr>
          <w:rFonts w:ascii="Century Schoolbook" w:hAnsi="Century Schoolbook" w:cs="Times New Roman"/>
        </w:rPr>
        <w:t>prophecies</w:t>
      </w:r>
      <w:r w:rsidRPr="00E56B4D">
        <w:rPr>
          <w:rFonts w:ascii="Century Schoolbook" w:hAnsi="Century Schoolbook" w:cs="Times New Roman"/>
        </w:rPr>
        <w:t xml:space="preserve"> of what the courts will do in fact, and nothing more pretentious, are what I mean by the law.”</w:t>
      </w:r>
      <w:r w:rsidRPr="00E56B4D">
        <w:rPr>
          <w:rStyle w:val="EndnoteReference"/>
          <w:rFonts w:ascii="Century Schoolbook" w:hAnsi="Century Schoolbook" w:cs="Times New Roman"/>
        </w:rPr>
        <w:endnoteReference w:id="60"/>
      </w:r>
      <w:r w:rsidRPr="00E56B4D">
        <w:rPr>
          <w:rFonts w:ascii="Century Schoolbook" w:hAnsi="Century Schoolbook" w:cs="Times New Roman"/>
        </w:rPr>
        <w:t xml:space="preserve">  </w:t>
      </w:r>
      <w:r w:rsidR="000741BA" w:rsidRPr="005D1699">
        <w:rPr>
          <w:rFonts w:ascii="Century Schoolbook" w:hAnsi="Century Schoolbook" w:cs="Times New Roman"/>
        </w:rPr>
        <w:t xml:space="preserve">Delaware courts again provide an example, </w:t>
      </w:r>
      <w:r w:rsidR="00FA4719" w:rsidRPr="005D1699">
        <w:rPr>
          <w:rFonts w:ascii="Century Schoolbook" w:hAnsi="Century Schoolbook" w:cs="Times New Roman"/>
        </w:rPr>
        <w:t xml:space="preserve">with </w:t>
      </w:r>
      <w:r w:rsidR="000741BA" w:rsidRPr="005D1699">
        <w:rPr>
          <w:rFonts w:ascii="Century Schoolbook" w:hAnsi="Century Schoolbook" w:cs="Times New Roman"/>
        </w:rPr>
        <w:t>t</w:t>
      </w:r>
      <w:r w:rsidRPr="005D1699">
        <w:rPr>
          <w:rFonts w:ascii="Century Schoolbook" w:hAnsi="Century Schoolbook" w:cs="Times New Roman"/>
        </w:rPr>
        <w:t>he discovery of high re</w:t>
      </w:r>
      <w:r w:rsidR="00A46B7D" w:rsidRPr="005D1699">
        <w:rPr>
          <w:rFonts w:ascii="Century Schoolbook" w:hAnsi="Century Schoolbook" w:cs="Times New Roman"/>
        </w:rPr>
        <w:t>-</w:t>
      </w:r>
      <w:r w:rsidRPr="005D1699">
        <w:rPr>
          <w:rFonts w:ascii="Century Schoolbook" w:hAnsi="Century Schoolbook" w:cs="Times New Roman"/>
        </w:rPr>
        <w:t>filing and failure rates among reorganized large, public companies.</w:t>
      </w:r>
      <w:r w:rsidRPr="005D1699">
        <w:rPr>
          <w:rStyle w:val="EndnoteReference"/>
          <w:rFonts w:ascii="Century Schoolbook" w:hAnsi="Century Schoolbook" w:cs="Times New Roman"/>
        </w:rPr>
        <w:endnoteReference w:id="61"/>
      </w:r>
      <w:r w:rsidR="00A46B7D" w:rsidRPr="005D1699">
        <w:rPr>
          <w:rFonts w:ascii="Century Schoolbook" w:hAnsi="Century Schoolbook" w:cs="Times New Roman"/>
        </w:rPr>
        <w:t xml:space="preserve">  The law </w:t>
      </w:r>
      <w:r w:rsidRPr="005D1699">
        <w:rPr>
          <w:rFonts w:ascii="Century Schoolbook" w:hAnsi="Century Schoolbook" w:cs="Times New Roman"/>
        </w:rPr>
        <w:t>entitles</w:t>
      </w:r>
      <w:r w:rsidRPr="00E56B4D">
        <w:rPr>
          <w:rFonts w:ascii="Century Schoolbook" w:hAnsi="Century Schoolbook" w:cs="Times New Roman"/>
        </w:rPr>
        <w:t xml:space="preserve"> public companies to choose their bankruptcy courts</w:t>
      </w:r>
      <w:r w:rsidR="00A46B7D" w:rsidRPr="00E56B4D">
        <w:rPr>
          <w:rFonts w:ascii="Century Schoolbook" w:hAnsi="Century Schoolbook" w:cs="Times New Roman"/>
        </w:rPr>
        <w:t>, and i</w:t>
      </w:r>
      <w:r w:rsidRPr="00E56B4D">
        <w:rPr>
          <w:rFonts w:ascii="Century Schoolbook" w:hAnsi="Century Schoolbook" w:cs="Times New Roman"/>
        </w:rPr>
        <w:t xml:space="preserve">n the early 1990s, companies </w:t>
      </w:r>
      <w:r w:rsidR="00885495">
        <w:rPr>
          <w:rFonts w:ascii="Century Schoolbook" w:hAnsi="Century Schoolbook" w:cs="Times New Roman"/>
        </w:rPr>
        <w:t>began using the</w:t>
      </w:r>
      <w:r w:rsidRPr="00E56B4D">
        <w:rPr>
          <w:rFonts w:ascii="Century Schoolbook" w:hAnsi="Century Schoolbook" w:cs="Times New Roman"/>
        </w:rPr>
        <w:t xml:space="preserve"> court </w:t>
      </w:r>
      <w:r w:rsidR="00A46B7D" w:rsidRPr="00E56B4D">
        <w:rPr>
          <w:rFonts w:ascii="Century Schoolbook" w:hAnsi="Century Schoolbook" w:cs="Times New Roman"/>
        </w:rPr>
        <w:t xml:space="preserve">in </w:t>
      </w:r>
      <w:r w:rsidRPr="00E56B4D">
        <w:rPr>
          <w:rFonts w:ascii="Century Schoolbook" w:hAnsi="Century Schoolbook" w:cs="Times New Roman"/>
        </w:rPr>
        <w:t>Delaware.</w:t>
      </w:r>
      <w:r w:rsidRPr="00E56B4D">
        <w:rPr>
          <w:rStyle w:val="EndnoteReference"/>
          <w:rFonts w:ascii="Century Schoolbook" w:hAnsi="Century Schoolbook" w:cs="Times New Roman"/>
        </w:rPr>
        <w:endnoteReference w:id="62"/>
      </w:r>
      <w:r w:rsidRPr="00E56B4D">
        <w:rPr>
          <w:rFonts w:ascii="Century Schoolbook" w:hAnsi="Century Schoolbook" w:cs="Times New Roman"/>
        </w:rPr>
        <w:t xml:space="preserve">  </w:t>
      </w:r>
      <w:r w:rsidR="00A46B7D" w:rsidRPr="00E56B4D">
        <w:rPr>
          <w:rFonts w:ascii="Century Schoolbook" w:hAnsi="Century Schoolbook" w:cs="Times New Roman"/>
        </w:rPr>
        <w:t>From 1990, t</w:t>
      </w:r>
      <w:r w:rsidRPr="00E56B4D">
        <w:rPr>
          <w:rFonts w:ascii="Century Schoolbook" w:hAnsi="Century Schoolbook" w:cs="Times New Roman"/>
        </w:rPr>
        <w:t xml:space="preserve">he Delaware court’s </w:t>
      </w:r>
      <w:r w:rsidR="00A46B7D" w:rsidRPr="00E56B4D">
        <w:rPr>
          <w:rFonts w:ascii="Century Schoolbook" w:hAnsi="Century Schoolbook" w:cs="Times New Roman"/>
        </w:rPr>
        <w:t xml:space="preserve">docket for large, public-companies increased </w:t>
      </w:r>
      <w:r w:rsidRPr="00E56B4D">
        <w:rPr>
          <w:rFonts w:ascii="Century Schoolbook" w:hAnsi="Century Schoolbook" w:cs="Times New Roman"/>
        </w:rPr>
        <w:t xml:space="preserve">from zero </w:t>
      </w:r>
      <w:r w:rsidR="00A46B7D" w:rsidRPr="00E56B4D">
        <w:rPr>
          <w:rFonts w:ascii="Century Schoolbook" w:hAnsi="Century Schoolbook" w:cs="Times New Roman"/>
        </w:rPr>
        <w:t>to eighty-seven percent in ten years.</w:t>
      </w:r>
      <w:r w:rsidR="00B8425F">
        <w:rPr>
          <w:rStyle w:val="EndnoteReference"/>
          <w:rFonts w:ascii="Century Schoolbook" w:hAnsi="Century Schoolbook" w:cs="Times New Roman"/>
        </w:rPr>
        <w:endnoteReference w:id="63"/>
      </w:r>
      <w:r w:rsidR="00A46B7D" w:rsidRPr="00E56B4D">
        <w:rPr>
          <w:rFonts w:ascii="Century Schoolbook" w:hAnsi="Century Schoolbook" w:cs="Times New Roman"/>
        </w:rPr>
        <w:t xml:space="preserve">  Delaware gained the reputation from b</w:t>
      </w:r>
      <w:r w:rsidRPr="00E56B4D">
        <w:rPr>
          <w:rFonts w:ascii="Century Schoolbook" w:hAnsi="Century Schoolbook" w:cs="Times New Roman"/>
        </w:rPr>
        <w:t xml:space="preserve">ankruptcy professionals and academics as the most sophisticated in the nation, and other courts began emulating </w:t>
      </w:r>
      <w:r w:rsidR="00A46B7D" w:rsidRPr="00E56B4D">
        <w:rPr>
          <w:rFonts w:ascii="Century Schoolbook" w:hAnsi="Century Schoolbook" w:cs="Times New Roman"/>
        </w:rPr>
        <w:t>their</w:t>
      </w:r>
      <w:r w:rsidRPr="00E56B4D">
        <w:rPr>
          <w:rFonts w:ascii="Century Schoolbook" w:hAnsi="Century Schoolbook" w:cs="Times New Roman"/>
        </w:rPr>
        <w:t xml:space="preserve"> methods.</w:t>
      </w:r>
      <w:r w:rsidRPr="00E56B4D">
        <w:rPr>
          <w:rStyle w:val="EndnoteReference"/>
          <w:rFonts w:ascii="Century Schoolbook" w:hAnsi="Century Schoolbook" w:cs="Times New Roman"/>
        </w:rPr>
        <w:endnoteReference w:id="64"/>
      </w:r>
      <w:r w:rsidR="00A46B7D" w:rsidRPr="00E56B4D">
        <w:rPr>
          <w:rFonts w:ascii="Century Schoolbook" w:hAnsi="Century Schoolbook" w:cs="Times New Roman"/>
        </w:rPr>
        <w:t xml:space="preserve">  </w:t>
      </w:r>
      <w:r w:rsidRPr="00E56B4D">
        <w:rPr>
          <w:rFonts w:ascii="Century Schoolbook" w:hAnsi="Century Schoolbook" w:cs="Times New Roman"/>
        </w:rPr>
        <w:t xml:space="preserve">In March 2000, </w:t>
      </w:r>
      <w:r w:rsidR="00A46B7D" w:rsidRPr="00E56B4D">
        <w:rPr>
          <w:rFonts w:ascii="Century Schoolbook" w:hAnsi="Century Schoolbook" w:cs="Times New Roman"/>
        </w:rPr>
        <w:t xml:space="preserve">a statistical analysis </w:t>
      </w:r>
      <w:r w:rsidR="00C67A65">
        <w:rPr>
          <w:rFonts w:ascii="Century Schoolbook" w:hAnsi="Century Schoolbook" w:cs="Times New Roman"/>
        </w:rPr>
        <w:t xml:space="preserve">was run </w:t>
      </w:r>
      <w:r w:rsidR="00B847CC">
        <w:rPr>
          <w:rFonts w:ascii="Century Schoolbook" w:hAnsi="Century Schoolbook" w:cs="Times New Roman"/>
        </w:rPr>
        <w:t xml:space="preserve">on </w:t>
      </w:r>
      <w:r w:rsidRPr="00E56B4D">
        <w:rPr>
          <w:rFonts w:ascii="Century Schoolbook" w:hAnsi="Century Schoolbook" w:cs="Times New Roman"/>
        </w:rPr>
        <w:t xml:space="preserve">the companies </w:t>
      </w:r>
      <w:r w:rsidR="00A46B7D" w:rsidRPr="00E56B4D">
        <w:rPr>
          <w:rFonts w:ascii="Century Schoolbook" w:hAnsi="Century Schoolbook" w:cs="Times New Roman"/>
        </w:rPr>
        <w:t xml:space="preserve">during this period using the </w:t>
      </w:r>
      <w:r w:rsidRPr="00E56B4D">
        <w:rPr>
          <w:rFonts w:ascii="Century Schoolbook" w:hAnsi="Century Schoolbook" w:cs="Times New Roman"/>
        </w:rPr>
        <w:t>Bankruptcy Research Database.</w:t>
      </w:r>
      <w:r w:rsidRPr="00E56B4D">
        <w:rPr>
          <w:rStyle w:val="EndnoteReference"/>
          <w:rFonts w:ascii="Century Schoolbook" w:hAnsi="Century Schoolbook" w:cs="Times New Roman"/>
        </w:rPr>
        <w:endnoteReference w:id="65"/>
      </w:r>
      <w:r w:rsidRPr="00E56B4D">
        <w:rPr>
          <w:rFonts w:ascii="Century Schoolbook" w:hAnsi="Century Schoolbook" w:cs="Times New Roman"/>
        </w:rPr>
        <w:t xml:space="preserve">  </w:t>
      </w:r>
      <w:r w:rsidR="00A46B7D" w:rsidRPr="00E56B4D">
        <w:rPr>
          <w:rFonts w:ascii="Century Schoolbook" w:hAnsi="Century Schoolbook" w:cs="Times New Roman"/>
        </w:rPr>
        <w:t xml:space="preserve">The analysis found that the </w:t>
      </w:r>
      <w:r w:rsidR="000741BA" w:rsidRPr="00E56B4D">
        <w:rPr>
          <w:rFonts w:ascii="Century Schoolbook" w:hAnsi="Century Schoolbook" w:cs="Times New Roman"/>
        </w:rPr>
        <w:t xml:space="preserve">outcomes to these </w:t>
      </w:r>
      <w:r w:rsidRPr="00E56B4D">
        <w:rPr>
          <w:rFonts w:ascii="Century Schoolbook" w:hAnsi="Century Schoolbook" w:cs="Times New Roman"/>
        </w:rPr>
        <w:t>filing</w:t>
      </w:r>
      <w:r w:rsidR="00A46B7D" w:rsidRPr="00E56B4D">
        <w:rPr>
          <w:rFonts w:ascii="Century Schoolbook" w:hAnsi="Century Schoolbook" w:cs="Times New Roman"/>
        </w:rPr>
        <w:t>s</w:t>
      </w:r>
      <w:r w:rsidR="00C67A65">
        <w:rPr>
          <w:rFonts w:ascii="Century Schoolbook" w:hAnsi="Century Schoolbook" w:cs="Times New Roman"/>
        </w:rPr>
        <w:t xml:space="preserve"> in Delaware </w:t>
      </w:r>
      <w:r w:rsidRPr="00E56B4D">
        <w:rPr>
          <w:rFonts w:ascii="Century Schoolbook" w:hAnsi="Century Schoolbook" w:cs="Times New Roman"/>
        </w:rPr>
        <w:t xml:space="preserve">failed at rates two to seven times as high as those filing in all other </w:t>
      </w:r>
      <w:r w:rsidRPr="00E56B4D">
        <w:rPr>
          <w:rFonts w:ascii="Century Schoolbook" w:hAnsi="Century Schoolbook" w:cs="Times New Roman"/>
        </w:rPr>
        <w:lastRenderedPageBreak/>
        <w:t>courts.</w:t>
      </w:r>
      <w:r w:rsidRPr="00E56B4D">
        <w:rPr>
          <w:rStyle w:val="EndnoteReference"/>
          <w:rFonts w:ascii="Century Schoolbook" w:hAnsi="Century Schoolbook" w:cs="Times New Roman"/>
        </w:rPr>
        <w:endnoteReference w:id="66"/>
      </w:r>
      <w:r w:rsidRPr="00E56B4D">
        <w:rPr>
          <w:rFonts w:ascii="Century Schoolbook" w:hAnsi="Century Schoolbook" w:cs="Times New Roman"/>
        </w:rPr>
        <w:t xml:space="preserve">  </w:t>
      </w:r>
      <w:r w:rsidR="00A46B7D" w:rsidRPr="00E56B4D">
        <w:rPr>
          <w:rFonts w:ascii="Century Schoolbook" w:hAnsi="Century Schoolbook" w:cs="Times New Roman"/>
        </w:rPr>
        <w:t xml:space="preserve">The experts and the industry had </w:t>
      </w:r>
      <w:r w:rsidR="00CB3CF3" w:rsidRPr="00E56B4D">
        <w:rPr>
          <w:rFonts w:ascii="Century Schoolbook" w:hAnsi="Century Schoolbook" w:cs="Times New Roman"/>
        </w:rPr>
        <w:t>predicted</w:t>
      </w:r>
      <w:r w:rsidR="00A46B7D" w:rsidRPr="00E56B4D">
        <w:rPr>
          <w:rFonts w:ascii="Century Schoolbook" w:hAnsi="Century Schoolbook" w:cs="Times New Roman"/>
        </w:rPr>
        <w:t xml:space="preserve"> that the </w:t>
      </w:r>
      <w:r w:rsidRPr="00E56B4D">
        <w:rPr>
          <w:rFonts w:ascii="Century Schoolbook" w:hAnsi="Century Schoolbook" w:cs="Times New Roman"/>
        </w:rPr>
        <w:t xml:space="preserve">Delaware and New York courts </w:t>
      </w:r>
      <w:r w:rsidR="00A46B7D" w:rsidRPr="00E56B4D">
        <w:rPr>
          <w:rFonts w:ascii="Century Schoolbook" w:hAnsi="Century Schoolbook" w:cs="Times New Roman"/>
        </w:rPr>
        <w:t>were having the best outcome</w:t>
      </w:r>
      <w:r w:rsidR="00B8425F">
        <w:rPr>
          <w:rFonts w:ascii="Century Schoolbook" w:hAnsi="Century Schoolbook" w:cs="Times New Roman"/>
        </w:rPr>
        <w:t>s</w:t>
      </w:r>
      <w:r w:rsidR="00A46B7D" w:rsidRPr="00E56B4D">
        <w:rPr>
          <w:rFonts w:ascii="Century Schoolbook" w:hAnsi="Century Schoolbook" w:cs="Times New Roman"/>
        </w:rPr>
        <w:t xml:space="preserve"> </w:t>
      </w:r>
      <w:r w:rsidR="00FE5AE4">
        <w:rPr>
          <w:rFonts w:ascii="Century Schoolbook" w:hAnsi="Century Schoolbook" w:cs="Times New Roman"/>
        </w:rPr>
        <w:t>for</w:t>
      </w:r>
      <w:r w:rsidR="00A46B7D" w:rsidRPr="00E56B4D">
        <w:rPr>
          <w:rFonts w:ascii="Century Schoolbook" w:hAnsi="Century Schoolbook" w:cs="Times New Roman"/>
        </w:rPr>
        <w:t xml:space="preserve"> </w:t>
      </w:r>
      <w:r w:rsidR="00B8425F">
        <w:rPr>
          <w:rFonts w:ascii="Century Schoolbook" w:hAnsi="Century Schoolbook" w:cs="Times New Roman"/>
        </w:rPr>
        <w:t xml:space="preserve">corporate </w:t>
      </w:r>
      <w:r w:rsidR="00A46B7D" w:rsidRPr="00E56B4D">
        <w:rPr>
          <w:rFonts w:ascii="Century Schoolbook" w:hAnsi="Century Schoolbook" w:cs="Times New Roman"/>
        </w:rPr>
        <w:t>reorganization within their judicial system when in fact</w:t>
      </w:r>
      <w:r w:rsidR="00FE5AE4">
        <w:rPr>
          <w:rFonts w:ascii="Century Schoolbook" w:hAnsi="Century Schoolbook" w:cs="Times New Roman"/>
        </w:rPr>
        <w:t>, in one aspect,</w:t>
      </w:r>
      <w:r w:rsidR="00A46B7D" w:rsidRPr="00E56B4D">
        <w:rPr>
          <w:rFonts w:ascii="Century Schoolbook" w:hAnsi="Century Schoolbook" w:cs="Times New Roman"/>
        </w:rPr>
        <w:t xml:space="preserve"> they were </w:t>
      </w:r>
      <w:r w:rsidR="00D538F4">
        <w:rPr>
          <w:rFonts w:ascii="Century Schoolbook" w:hAnsi="Century Schoolbook" w:cs="Times New Roman"/>
        </w:rPr>
        <w:t>at the bottom</w:t>
      </w:r>
      <w:r w:rsidRPr="00E56B4D">
        <w:rPr>
          <w:rFonts w:ascii="Century Schoolbook" w:hAnsi="Century Schoolbook" w:cs="Times New Roman"/>
        </w:rPr>
        <w:t>.</w:t>
      </w:r>
      <w:r w:rsidRPr="00E56B4D">
        <w:rPr>
          <w:rStyle w:val="EndnoteReference"/>
          <w:rFonts w:ascii="Century Schoolbook" w:hAnsi="Century Schoolbook" w:cs="Times New Roman"/>
        </w:rPr>
        <w:endnoteReference w:id="67"/>
      </w:r>
    </w:p>
    <w:p w:rsidR="00D538F4" w:rsidRPr="00E56B4D" w:rsidRDefault="00D538F4"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t>S</w:t>
      </w:r>
      <w:r w:rsidRPr="00E56B4D">
        <w:rPr>
          <w:rFonts w:ascii="Century Schoolbook" w:hAnsi="Century Schoolbook" w:cs="Times New Roman"/>
        </w:rPr>
        <w:t>ome legislative requirements at the federal level</w:t>
      </w:r>
      <w:r>
        <w:rPr>
          <w:rFonts w:ascii="Century Schoolbook" w:hAnsi="Century Schoolbook" w:cs="Times New Roman"/>
        </w:rPr>
        <w:t xml:space="preserve"> have been enacted to provide for more transparency</w:t>
      </w:r>
      <w:r w:rsidR="00360611">
        <w:rPr>
          <w:rFonts w:ascii="Century Schoolbook" w:hAnsi="Century Schoolbook" w:cs="Times New Roman"/>
        </w:rPr>
        <w:t xml:space="preserve"> to the public</w:t>
      </w:r>
      <w:r w:rsidRPr="00E56B4D">
        <w:rPr>
          <w:rFonts w:ascii="Century Schoolbook" w:hAnsi="Century Schoolbook" w:cs="Times New Roman"/>
        </w:rPr>
        <w:t>.  For example, the Federal Freedom of Information Act is an attempt to provide transparency.</w:t>
      </w:r>
      <w:r w:rsidRPr="00E56B4D">
        <w:rPr>
          <w:rStyle w:val="EndnoteReference"/>
          <w:rFonts w:ascii="Century Schoolbook" w:hAnsi="Century Schoolbook" w:cs="Times New Roman"/>
        </w:rPr>
        <w:endnoteReference w:id="68"/>
      </w:r>
      <w:r w:rsidRPr="00E56B4D">
        <w:rPr>
          <w:rFonts w:ascii="Century Schoolbook" w:hAnsi="Century Schoolbook" w:cs="Times New Roman"/>
        </w:rPr>
        <w:t xml:space="preserve">  The purpose of FOIA was to require disclosure for information that would shed light on the conduct of any Government agency or official for public use.</w:t>
      </w:r>
      <w:r w:rsidRPr="00E56B4D">
        <w:rPr>
          <w:rStyle w:val="EndnoteReference"/>
          <w:rFonts w:ascii="Century Schoolbook" w:hAnsi="Century Schoolbook" w:cs="Times New Roman"/>
        </w:rPr>
        <w:endnoteReference w:id="69"/>
      </w:r>
      <w:r w:rsidRPr="00E56B4D">
        <w:rPr>
          <w:rFonts w:ascii="Century Schoolbook" w:hAnsi="Century Schoolbook" w:cs="Times New Roman"/>
        </w:rPr>
        <w:t xml:space="preserve">  However, the vast majority of FOIA requests are made by businesses for commercial purposes.</w:t>
      </w:r>
      <w:r w:rsidRPr="00E56B4D">
        <w:rPr>
          <w:rStyle w:val="EndnoteReference"/>
          <w:rFonts w:ascii="Century Schoolbook" w:hAnsi="Century Schoolbook" w:cs="Times New Roman"/>
        </w:rPr>
        <w:endnoteReference w:id="70"/>
      </w:r>
      <w:r w:rsidRPr="00E56B4D">
        <w:rPr>
          <w:rFonts w:ascii="Century Schoolbook" w:hAnsi="Century Schoolbook" w:cs="Times New Roman"/>
        </w:rPr>
        <w:t xml:space="preserve">  The FOIA has turned many government agencies into “information brokers” rather than “a examining and monitoring how the government works.</w:t>
      </w:r>
      <w:r>
        <w:rPr>
          <w:rStyle w:val="EndnoteReference"/>
          <w:rFonts w:ascii="Century Schoolbook" w:hAnsi="Century Schoolbook" w:cs="Times New Roman"/>
        </w:rPr>
        <w:endnoteReference w:id="71"/>
      </w:r>
      <w:r w:rsidRPr="00E56B4D">
        <w:rPr>
          <w:rFonts w:ascii="Century Schoolbook" w:hAnsi="Century Schoolbook" w:cs="Times New Roman"/>
        </w:rPr>
        <w:t xml:space="preserve">  </w:t>
      </w:r>
      <w:r>
        <w:rPr>
          <w:rFonts w:ascii="Century Schoolbook" w:hAnsi="Century Schoolbook" w:cs="Times New Roman"/>
        </w:rPr>
        <w:t>In order for court and litigation data to be accessed in a meaningful way and public way, legislatures are going to need to do more than require open access.</w:t>
      </w:r>
    </w:p>
    <w:p w:rsidR="00641429" w:rsidRPr="00E56B4D" w:rsidRDefault="009F0ED5" w:rsidP="0002068B">
      <w:pPr>
        <w:pStyle w:val="Heading1"/>
        <w:numPr>
          <w:ilvl w:val="0"/>
          <w:numId w:val="2"/>
        </w:numPr>
        <w:spacing w:before="100" w:beforeAutospacing="1" w:after="240" w:line="480" w:lineRule="auto"/>
        <w:jc w:val="both"/>
        <w:rPr>
          <w:rFonts w:ascii="Century Schoolbook" w:hAnsi="Century Schoolbook" w:cs="Times New Roman"/>
          <w:sz w:val="24"/>
          <w:szCs w:val="24"/>
        </w:rPr>
      </w:pPr>
      <w:bookmarkStart w:id="6" w:name="_Toc362462016"/>
      <w:r w:rsidRPr="00E56B4D">
        <w:rPr>
          <w:rFonts w:ascii="Century Schoolbook" w:hAnsi="Century Schoolbook" w:cs="Times New Roman"/>
          <w:sz w:val="24"/>
          <w:szCs w:val="24"/>
        </w:rPr>
        <w:t>Privacy Concerns</w:t>
      </w:r>
      <w:bookmarkEnd w:id="6"/>
    </w:p>
    <w:p w:rsidR="0065719F" w:rsidRDefault="0065719F" w:rsidP="0065719F">
      <w:pPr>
        <w:pStyle w:val="Text"/>
        <w:spacing w:before="100" w:beforeAutospacing="1" w:after="240"/>
        <w:jc w:val="both"/>
        <w:rPr>
          <w:rFonts w:ascii="Century Schoolbook" w:hAnsi="Century Schoolbook" w:cs="Times New Roman"/>
        </w:rPr>
      </w:pPr>
      <w:r w:rsidRPr="00E56B4D">
        <w:rPr>
          <w:rFonts w:ascii="Century Schoolbook" w:hAnsi="Century Schoolbook" w:cs="Times New Roman"/>
        </w:rPr>
        <w:t xml:space="preserve">In </w:t>
      </w:r>
      <w:r>
        <w:rPr>
          <w:rFonts w:ascii="Century Schoolbook" w:hAnsi="Century Schoolbook" w:cs="Times New Roman"/>
        </w:rPr>
        <w:t>the push for more transparent</w:t>
      </w:r>
      <w:r w:rsidRPr="00E56B4D">
        <w:rPr>
          <w:rFonts w:ascii="Century Schoolbook" w:hAnsi="Century Schoolbook" w:cs="Times New Roman"/>
        </w:rPr>
        <w:t xml:space="preserve"> government and judicial data, the primary concern is that we may inadvertently create privacy problems.   </w:t>
      </w:r>
      <w:r w:rsidR="005701B5">
        <w:rPr>
          <w:rFonts w:ascii="Century Schoolbook" w:hAnsi="Century Schoolbook" w:cs="Times New Roman"/>
        </w:rPr>
        <w:t>With the ubiquity of data, t</w:t>
      </w:r>
      <w:r w:rsidRPr="0065719F">
        <w:rPr>
          <w:rFonts w:ascii="Century Schoolbook" w:hAnsi="Century Schoolbook" w:cs="Times New Roman"/>
        </w:rPr>
        <w:t>his loss of privacy may affect the judicial process by putting a chill on openness.  Witnesses and juries that participate in the judicial process may change their behavior in the courtroom for fear that personal information may leak out.  Parties to law suits will also have to worry about their information being used to harm them by ill intentioned individuals using it as blackmail or other harms.</w:t>
      </w:r>
      <w:r w:rsidRPr="00E56B4D">
        <w:rPr>
          <w:rFonts w:ascii="Century Schoolbook" w:hAnsi="Century Schoolbook" w:cs="Times New Roman"/>
        </w:rPr>
        <w:t xml:space="preserve">  </w:t>
      </w:r>
    </w:p>
    <w:p w:rsidR="0065719F" w:rsidRDefault="00641429" w:rsidP="0065719F">
      <w:pPr>
        <w:pStyle w:val="Text"/>
        <w:spacing w:before="100" w:beforeAutospacing="1" w:after="240"/>
        <w:jc w:val="both"/>
        <w:rPr>
          <w:rFonts w:ascii="Century Schoolbook" w:hAnsi="Century Schoolbook" w:cs="Times New Roman"/>
        </w:rPr>
      </w:pPr>
      <w:r w:rsidRPr="00E56B4D">
        <w:rPr>
          <w:rFonts w:ascii="Century Schoolbook" w:hAnsi="Century Schoolbook" w:cs="Times New Roman"/>
        </w:rPr>
        <w:lastRenderedPageBreak/>
        <w:t>The Constitution does not explicitly mention the right to privacy; however, the Supreme Court has repeatedly recognized that a right of personal privacy does exist under the Constitution.</w:t>
      </w:r>
      <w:r w:rsidRPr="00E56B4D">
        <w:rPr>
          <w:rStyle w:val="EndnoteReference"/>
          <w:rFonts w:ascii="Century Schoolbook" w:hAnsi="Century Schoolbook" w:cs="Times New Roman"/>
        </w:rPr>
        <w:endnoteReference w:id="72"/>
      </w:r>
      <w:r w:rsidRPr="00E56B4D">
        <w:rPr>
          <w:rFonts w:ascii="Century Schoolbook" w:hAnsi="Century Schoolbook" w:cs="Times New Roman"/>
        </w:rPr>
        <w:t xml:space="preserve">  Privacy is a person’s right “in avoiding disclosure of personal matters” and the individual’s right to control these disclosures.</w:t>
      </w:r>
      <w:r w:rsidRPr="00E56B4D">
        <w:rPr>
          <w:rStyle w:val="EndnoteReference"/>
          <w:rFonts w:ascii="Century Schoolbook" w:hAnsi="Century Schoolbook" w:cs="Times New Roman"/>
        </w:rPr>
        <w:endnoteReference w:id="73"/>
      </w:r>
      <w:r w:rsidRPr="00E56B4D">
        <w:rPr>
          <w:rFonts w:ascii="Century Schoolbook" w:hAnsi="Century Schoolbook" w:cs="Times New Roman"/>
        </w:rPr>
        <w:t xml:space="preserve">  </w:t>
      </w:r>
      <w:r w:rsidR="006F07A6">
        <w:rPr>
          <w:rFonts w:ascii="Century Schoolbook" w:hAnsi="Century Schoolbook" w:cs="Times New Roman"/>
        </w:rPr>
        <w:t>T</w:t>
      </w:r>
      <w:r w:rsidRPr="00E56B4D">
        <w:rPr>
          <w:rFonts w:ascii="Century Schoolbook" w:hAnsi="Century Schoolbook" w:cs="Times New Roman"/>
        </w:rPr>
        <w:t>he shift from a paper based system to an electronic system</w:t>
      </w:r>
      <w:r w:rsidR="00360611">
        <w:rPr>
          <w:rFonts w:ascii="Century Schoolbook" w:hAnsi="Century Schoolbook" w:cs="Times New Roman"/>
        </w:rPr>
        <w:t>, as discussed previously,</w:t>
      </w:r>
      <w:r w:rsidRPr="00E56B4D">
        <w:rPr>
          <w:rFonts w:ascii="Century Schoolbook" w:hAnsi="Century Schoolbook" w:cs="Times New Roman"/>
        </w:rPr>
        <w:t xml:space="preserve"> is causing concerns </w:t>
      </w:r>
      <w:r w:rsidR="00625EEA" w:rsidRPr="00E56B4D">
        <w:rPr>
          <w:rFonts w:ascii="Century Schoolbook" w:hAnsi="Century Schoolbook" w:cs="Times New Roman"/>
        </w:rPr>
        <w:t xml:space="preserve">because </w:t>
      </w:r>
      <w:r w:rsidRPr="00E56B4D">
        <w:rPr>
          <w:rFonts w:ascii="Century Schoolbook" w:hAnsi="Century Schoolbook" w:cs="Times New Roman"/>
        </w:rPr>
        <w:t xml:space="preserve">paper documents gave an added step </w:t>
      </w:r>
      <w:r w:rsidR="00892B74">
        <w:rPr>
          <w:rFonts w:ascii="Century Schoolbook" w:hAnsi="Century Schoolbook" w:cs="Times New Roman"/>
        </w:rPr>
        <w:t xml:space="preserve">to protect </w:t>
      </w:r>
      <w:r w:rsidRPr="00E56B4D">
        <w:rPr>
          <w:rFonts w:ascii="Century Schoolbook" w:hAnsi="Century Schoolbook" w:cs="Times New Roman"/>
        </w:rPr>
        <w:t xml:space="preserve">private information.  </w:t>
      </w:r>
      <w:r w:rsidR="00B54B5A">
        <w:rPr>
          <w:rFonts w:ascii="Century Schoolbook" w:hAnsi="Century Schoolbook" w:cs="Times New Roman"/>
        </w:rPr>
        <w:t xml:space="preserve">This barrier can be seen in Professor </w:t>
      </w:r>
      <w:r w:rsidR="00B54B5A" w:rsidRPr="00B54B5A">
        <w:rPr>
          <w:rFonts w:ascii="Century Schoolbook" w:hAnsi="Century Schoolbook" w:cs="Times New Roman"/>
        </w:rPr>
        <w:t xml:space="preserve">Harry </w:t>
      </w:r>
      <w:proofErr w:type="spellStart"/>
      <w:r w:rsidR="00B54B5A" w:rsidRPr="00B54B5A">
        <w:rPr>
          <w:rFonts w:ascii="Century Schoolbook" w:hAnsi="Century Schoolbook" w:cs="Times New Roman"/>
        </w:rPr>
        <w:t>Surden</w:t>
      </w:r>
      <w:r w:rsidR="00B54B5A">
        <w:rPr>
          <w:rFonts w:ascii="Century Schoolbook" w:hAnsi="Century Schoolbook" w:cs="Times New Roman"/>
        </w:rPr>
        <w:t>’s</w:t>
      </w:r>
      <w:proofErr w:type="spellEnd"/>
      <w:r w:rsidR="00B54B5A">
        <w:rPr>
          <w:rFonts w:ascii="Century Schoolbook" w:hAnsi="Century Schoolbook" w:cs="Times New Roman"/>
        </w:rPr>
        <w:t xml:space="preserve"> article</w:t>
      </w:r>
      <w:r w:rsidR="00B54B5A" w:rsidRPr="00B54B5A">
        <w:rPr>
          <w:rFonts w:ascii="Century Schoolbook" w:hAnsi="Century Schoolbook" w:cs="Times New Roman"/>
        </w:rPr>
        <w:t xml:space="preserve">, </w:t>
      </w:r>
      <w:r w:rsidR="00B54B5A" w:rsidRPr="00B54B5A">
        <w:rPr>
          <w:rFonts w:ascii="Century Schoolbook" w:hAnsi="Century Schoolbook" w:cs="Times New Roman"/>
          <w:i/>
        </w:rPr>
        <w:t>Structural Rights in Privacy</w:t>
      </w:r>
      <w:r w:rsidR="00B54B5A" w:rsidRPr="00B54B5A">
        <w:rPr>
          <w:rFonts w:ascii="Century Schoolbook" w:hAnsi="Century Schoolbook" w:cs="Times New Roman"/>
        </w:rPr>
        <w:t xml:space="preserve">, </w:t>
      </w:r>
      <w:r w:rsidR="00B54B5A">
        <w:rPr>
          <w:rFonts w:ascii="Century Schoolbook" w:hAnsi="Century Schoolbook" w:cs="Times New Roman"/>
        </w:rPr>
        <w:t>where he describes t</w:t>
      </w:r>
      <w:r w:rsidR="00A8346C" w:rsidRPr="00A8346C">
        <w:rPr>
          <w:rFonts w:ascii="Century Schoolbook" w:hAnsi="Century Schoolbook" w:cs="Times New Roman"/>
        </w:rPr>
        <w:t xml:space="preserve">he physical costs of obtaining </w:t>
      </w:r>
      <w:r w:rsidR="00A8346C">
        <w:rPr>
          <w:rFonts w:ascii="Century Schoolbook" w:hAnsi="Century Schoolbook" w:cs="Times New Roman"/>
        </w:rPr>
        <w:t xml:space="preserve">paper </w:t>
      </w:r>
      <w:r w:rsidR="00A8346C" w:rsidRPr="00A8346C">
        <w:rPr>
          <w:rFonts w:ascii="Century Schoolbook" w:hAnsi="Century Schoolbook" w:cs="Times New Roman"/>
        </w:rPr>
        <w:t>documents and the difficulty of searching through large amounts of paper documents for one particular piece of information.</w:t>
      </w:r>
      <w:r w:rsidR="00A8346C">
        <w:rPr>
          <w:rStyle w:val="EndnoteReference"/>
          <w:rFonts w:ascii="Century Schoolbook" w:hAnsi="Century Schoolbook" w:cs="Times New Roman"/>
        </w:rPr>
        <w:endnoteReference w:id="74"/>
      </w:r>
      <w:r w:rsidR="00A8346C">
        <w:rPr>
          <w:rFonts w:ascii="Century Schoolbook" w:hAnsi="Century Schoolbook" w:cs="Times New Roman"/>
        </w:rPr>
        <w:t xml:space="preserve">  </w:t>
      </w:r>
      <w:r w:rsidRPr="00E56B4D">
        <w:rPr>
          <w:rFonts w:ascii="Century Schoolbook" w:hAnsi="Century Schoolbook" w:cs="Times New Roman"/>
        </w:rPr>
        <w:t>Searching all the public records and paper filings would be like searching for the proverbial needle in the haystack.</w:t>
      </w:r>
      <w:r w:rsidRPr="00E56B4D">
        <w:rPr>
          <w:rStyle w:val="EndnoteReference"/>
          <w:rFonts w:ascii="Century Schoolbook" w:hAnsi="Century Schoolbook" w:cs="Times New Roman"/>
        </w:rPr>
        <w:endnoteReference w:id="75"/>
      </w:r>
      <w:r w:rsidRPr="00E56B4D">
        <w:rPr>
          <w:rFonts w:ascii="Century Schoolbook" w:hAnsi="Century Schoolbook" w:cs="Times New Roman"/>
        </w:rPr>
        <w:t xml:space="preserve">  However, with electronic databases</w:t>
      </w:r>
      <w:r w:rsidR="00892B74">
        <w:rPr>
          <w:rFonts w:ascii="Century Schoolbook" w:hAnsi="Century Schoolbook" w:cs="Times New Roman"/>
        </w:rPr>
        <w:t>,</w:t>
      </w:r>
      <w:r w:rsidRPr="00E56B4D">
        <w:rPr>
          <w:rFonts w:ascii="Century Schoolbook" w:hAnsi="Century Schoolbook" w:cs="Times New Roman"/>
        </w:rPr>
        <w:t xml:space="preserve"> that extra </w:t>
      </w:r>
      <w:r w:rsidR="00A8346C">
        <w:rPr>
          <w:rFonts w:ascii="Century Schoolbook" w:hAnsi="Century Schoolbook" w:cs="Times New Roman"/>
        </w:rPr>
        <w:t xml:space="preserve">barrier </w:t>
      </w:r>
      <w:r w:rsidR="00625EEA" w:rsidRPr="00E56B4D">
        <w:rPr>
          <w:rFonts w:ascii="Century Schoolbook" w:hAnsi="Century Schoolbook" w:cs="Times New Roman"/>
        </w:rPr>
        <w:t>is being whittled</w:t>
      </w:r>
      <w:r w:rsidRPr="00E56B4D">
        <w:rPr>
          <w:rFonts w:ascii="Century Schoolbook" w:hAnsi="Century Schoolbook" w:cs="Times New Roman"/>
        </w:rPr>
        <w:t xml:space="preserve"> away because one never needs to leave the office to gain access to </w:t>
      </w:r>
      <w:r w:rsidR="00FE5AE4">
        <w:rPr>
          <w:rFonts w:ascii="Century Schoolbook" w:hAnsi="Century Schoolbook" w:cs="Times New Roman"/>
        </w:rPr>
        <w:t xml:space="preserve">a wider number of </w:t>
      </w:r>
      <w:r w:rsidRPr="00E56B4D">
        <w:rPr>
          <w:rFonts w:ascii="Century Schoolbook" w:hAnsi="Century Schoolbook" w:cs="Times New Roman"/>
        </w:rPr>
        <w:t>internet database</w:t>
      </w:r>
      <w:r w:rsidR="00892B74">
        <w:rPr>
          <w:rFonts w:ascii="Century Schoolbook" w:hAnsi="Century Schoolbook" w:cs="Times New Roman"/>
        </w:rPr>
        <w:t>s</w:t>
      </w:r>
      <w:r w:rsidRPr="00E56B4D">
        <w:rPr>
          <w:rFonts w:ascii="Century Schoolbook" w:hAnsi="Century Schoolbook" w:cs="Times New Roman"/>
        </w:rPr>
        <w:t xml:space="preserve">.  </w:t>
      </w:r>
      <w:r w:rsidR="00360611">
        <w:rPr>
          <w:rFonts w:ascii="Century Schoolbook" w:hAnsi="Century Schoolbook" w:cs="Times New Roman"/>
        </w:rPr>
        <w:t>U</w:t>
      </w:r>
      <w:r w:rsidR="00625EEA" w:rsidRPr="00E56B4D">
        <w:rPr>
          <w:rFonts w:ascii="Century Schoolbook" w:hAnsi="Century Schoolbook" w:cs="Times New Roman"/>
        </w:rPr>
        <w:t>sing data-mining software and other software allows an individual to search through all the hay in the hays stack at astounding speeds.</w:t>
      </w:r>
      <w:r w:rsidRPr="00E56B4D">
        <w:rPr>
          <w:rFonts w:ascii="Century Schoolbook" w:hAnsi="Century Schoolbook" w:cs="Times New Roman"/>
        </w:rPr>
        <w:t xml:space="preserve">  We have tools tha</w:t>
      </w:r>
      <w:r w:rsidRPr="0065719F">
        <w:rPr>
          <w:rFonts w:ascii="Century Schoolbook" w:hAnsi="Century Schoolbook" w:cs="Times New Roman"/>
        </w:rPr>
        <w:t>t process these haystacks very easily.</w:t>
      </w:r>
      <w:r w:rsidR="00FD5F6F" w:rsidRPr="0065719F">
        <w:rPr>
          <w:rFonts w:ascii="Century Schoolbook" w:hAnsi="Century Schoolbook" w:cs="Times New Roman"/>
        </w:rPr>
        <w:t xml:space="preserve">  </w:t>
      </w:r>
      <w:r w:rsidR="00360611">
        <w:rPr>
          <w:rFonts w:ascii="Century Schoolbook" w:hAnsi="Century Schoolbook" w:cs="Times New Roman"/>
        </w:rPr>
        <w:t xml:space="preserve">Furthermore, the </w:t>
      </w:r>
      <w:r w:rsidR="00360611" w:rsidRPr="0065719F">
        <w:rPr>
          <w:rFonts w:ascii="Century Schoolbook" w:hAnsi="Century Schoolbook" w:cs="Times New Roman"/>
        </w:rPr>
        <w:t xml:space="preserve">permanency of data </w:t>
      </w:r>
      <w:r w:rsidR="00360611">
        <w:rPr>
          <w:rFonts w:ascii="Century Schoolbook" w:hAnsi="Century Schoolbook" w:cs="Times New Roman"/>
        </w:rPr>
        <w:t xml:space="preserve">allows for easier access </w:t>
      </w:r>
      <w:r w:rsidR="00360611" w:rsidRPr="0065719F">
        <w:rPr>
          <w:rFonts w:ascii="Century Schoolbook" w:hAnsi="Century Schoolbook" w:cs="Times New Roman"/>
        </w:rPr>
        <w:t>since it can easily be transferred to a new medium once the old medium becomes out of date</w:t>
      </w:r>
      <w:r w:rsidR="00AD3303">
        <w:rPr>
          <w:rFonts w:ascii="Century Schoolbook" w:hAnsi="Century Schoolbook" w:cs="Times New Roman"/>
        </w:rPr>
        <w:t xml:space="preserve"> without degrading the data</w:t>
      </w:r>
      <w:r w:rsidR="00360611" w:rsidRPr="0065719F">
        <w:rPr>
          <w:rStyle w:val="EndnoteReference"/>
          <w:rFonts w:ascii="Century Schoolbook" w:hAnsi="Century Schoolbook" w:cs="Times New Roman"/>
        </w:rPr>
        <w:endnoteReference w:id="76"/>
      </w:r>
      <w:r w:rsidR="00360611" w:rsidRPr="0065719F">
        <w:rPr>
          <w:rFonts w:ascii="Century Schoolbook" w:hAnsi="Century Schoolbook" w:cs="Times New Roman"/>
        </w:rPr>
        <w:t xml:space="preserve">.  </w:t>
      </w:r>
      <w:r w:rsidR="0065719F" w:rsidRPr="0065719F">
        <w:rPr>
          <w:rFonts w:ascii="Century Schoolbook" w:hAnsi="Century Schoolbook" w:cs="Times New Roman"/>
        </w:rPr>
        <w:t>In the paper based era, the data was a lot harder to transfer and would usually evaporate with the demise of the original medium.  Digital data can move easily from medium to medium even as these physical mediums begin to degrade creating a longer perpetual shelf life in the new electronic system.</w:t>
      </w:r>
      <w:r w:rsidR="0065719F" w:rsidRPr="00E56B4D">
        <w:rPr>
          <w:rFonts w:ascii="Century Schoolbook" w:hAnsi="Century Schoolbook" w:cs="Times New Roman"/>
        </w:rPr>
        <w:t xml:space="preserve">  </w:t>
      </w:r>
    </w:p>
    <w:p w:rsidR="00641429" w:rsidRPr="00E56B4D" w:rsidRDefault="006F07A6"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lastRenderedPageBreak/>
        <w:t>T</w:t>
      </w:r>
      <w:r w:rsidR="00625EEA" w:rsidRPr="00E56B4D">
        <w:rPr>
          <w:rFonts w:ascii="Century Schoolbook" w:hAnsi="Century Schoolbook" w:cs="Times New Roman"/>
        </w:rPr>
        <w:t xml:space="preserve">echnology allows for the comparing of </w:t>
      </w:r>
      <w:r w:rsidR="00FD5F6F" w:rsidRPr="00E56B4D">
        <w:rPr>
          <w:rFonts w:ascii="Century Schoolbook" w:hAnsi="Century Schoolbook" w:cs="Times New Roman"/>
        </w:rPr>
        <w:t>databases,</w:t>
      </w:r>
      <w:r w:rsidR="00625EEA" w:rsidRPr="00E56B4D">
        <w:rPr>
          <w:rFonts w:ascii="Century Schoolbook" w:hAnsi="Century Schoolbook" w:cs="Times New Roman"/>
        </w:rPr>
        <w:t xml:space="preserve"> and data-miners can combine these sources to find personal information.  </w:t>
      </w:r>
      <w:r w:rsidR="00641429" w:rsidRPr="00E56B4D">
        <w:rPr>
          <w:rFonts w:ascii="Century Schoolbook" w:hAnsi="Century Schoolbook" w:cs="Times New Roman"/>
        </w:rPr>
        <w:t xml:space="preserve">There is a good reason for </w:t>
      </w:r>
      <w:r w:rsidR="004E5195">
        <w:rPr>
          <w:rFonts w:ascii="Century Schoolbook" w:hAnsi="Century Schoolbook" w:cs="Times New Roman"/>
        </w:rPr>
        <w:t>the privacy</w:t>
      </w:r>
      <w:r w:rsidR="00641429" w:rsidRPr="00E56B4D">
        <w:rPr>
          <w:rFonts w:ascii="Century Schoolbook" w:hAnsi="Century Schoolbook" w:cs="Times New Roman"/>
        </w:rPr>
        <w:t xml:space="preserve"> concern as people’s information has been used to steal identity, blackmail an individual, or intentionally disclosing harmful information.</w:t>
      </w:r>
      <w:r w:rsidR="0065719F">
        <w:rPr>
          <w:rFonts w:ascii="Century Schoolbook" w:hAnsi="Century Schoolbook" w:cs="Times New Roman"/>
        </w:rPr>
        <w:t xml:space="preserve">  </w:t>
      </w:r>
      <w:r w:rsidR="00FA4719">
        <w:rPr>
          <w:rFonts w:ascii="Century Schoolbook" w:hAnsi="Century Schoolbook" w:cs="Times New Roman"/>
        </w:rPr>
        <w:t>H</w:t>
      </w:r>
      <w:r w:rsidR="00AE1B70" w:rsidRPr="00E56B4D">
        <w:rPr>
          <w:rFonts w:ascii="Century Schoolbook" w:hAnsi="Century Schoolbook" w:cs="Times New Roman"/>
        </w:rPr>
        <w:t xml:space="preserve">owever, the government is already selling our data, purchasing data, </w:t>
      </w:r>
      <w:r w:rsidR="00892B74">
        <w:rPr>
          <w:rFonts w:ascii="Century Schoolbook" w:hAnsi="Century Schoolbook" w:cs="Times New Roman"/>
        </w:rPr>
        <w:t xml:space="preserve">and </w:t>
      </w:r>
      <w:r w:rsidR="00AE1B70" w:rsidRPr="00E56B4D">
        <w:rPr>
          <w:rFonts w:ascii="Century Schoolbook" w:hAnsi="Century Schoolbook" w:cs="Times New Roman"/>
        </w:rPr>
        <w:t>displaying private data</w:t>
      </w:r>
      <w:r w:rsidR="00892B74">
        <w:rPr>
          <w:rFonts w:ascii="Century Schoolbook" w:hAnsi="Century Schoolbook" w:cs="Times New Roman"/>
        </w:rPr>
        <w:t>.</w:t>
      </w:r>
      <w:r w:rsidR="00AE1B70" w:rsidRPr="00E56B4D">
        <w:rPr>
          <w:rFonts w:ascii="Century Schoolbook" w:hAnsi="Century Schoolbook" w:cs="Times New Roman"/>
        </w:rPr>
        <w:t xml:space="preserve"> </w:t>
      </w:r>
    </w:p>
    <w:p w:rsidR="00641429" w:rsidRPr="00E56B4D" w:rsidRDefault="00892B74"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t>T</w:t>
      </w:r>
      <w:r w:rsidR="00641429" w:rsidRPr="00E56B4D">
        <w:rPr>
          <w:rFonts w:ascii="Century Schoolbook" w:hAnsi="Century Schoolbook" w:cs="Times New Roman"/>
        </w:rPr>
        <w:t>he government has already been selling our data.  In 1981, ten companies made long term arrangements with the Census Bureau to require the Bureau to track special data by zip code, where the companies would have exclusive access to this data.</w:t>
      </w:r>
      <w:r w:rsidR="00641429" w:rsidRPr="00E56B4D">
        <w:rPr>
          <w:rStyle w:val="EndnoteReference"/>
          <w:rFonts w:ascii="Century Schoolbook" w:hAnsi="Century Schoolbook" w:cs="Times New Roman"/>
        </w:rPr>
        <w:endnoteReference w:id="77"/>
      </w:r>
      <w:r w:rsidR="00641429" w:rsidRPr="00E56B4D">
        <w:rPr>
          <w:rFonts w:ascii="Century Schoolbook" w:hAnsi="Century Schoolbook" w:cs="Times New Roman"/>
        </w:rPr>
        <w:t xml:space="preserve">  The problem goes the other way as </w:t>
      </w:r>
      <w:r>
        <w:rPr>
          <w:rFonts w:ascii="Century Schoolbook" w:hAnsi="Century Schoolbook" w:cs="Times New Roman"/>
        </w:rPr>
        <w:t xml:space="preserve">the </w:t>
      </w:r>
      <w:r w:rsidR="00641429" w:rsidRPr="00E56B4D">
        <w:rPr>
          <w:rFonts w:ascii="Century Schoolbook" w:hAnsi="Century Schoolbook" w:cs="Times New Roman"/>
        </w:rPr>
        <w:t>government is also purchasing data from private organizations to enhance their databases.  Currently, the FBI and IRS purchase data from organization</w:t>
      </w:r>
      <w:r w:rsidR="000A79FA" w:rsidRPr="00E56B4D">
        <w:rPr>
          <w:rFonts w:ascii="Century Schoolbook" w:hAnsi="Century Schoolbook" w:cs="Times New Roman"/>
        </w:rPr>
        <w:t>s</w:t>
      </w:r>
      <w:r w:rsidR="00641429" w:rsidRPr="00E56B4D">
        <w:rPr>
          <w:rFonts w:ascii="Century Schoolbook" w:hAnsi="Century Schoolbook" w:cs="Times New Roman"/>
        </w:rPr>
        <w:t xml:space="preserve"> that have been gathering and aggregating data from other private sources.</w:t>
      </w:r>
      <w:r w:rsidR="00641429" w:rsidRPr="00E56B4D">
        <w:rPr>
          <w:rStyle w:val="EndnoteReference"/>
          <w:rFonts w:ascii="Century Schoolbook" w:hAnsi="Century Schoolbook" w:cs="Times New Roman"/>
        </w:rPr>
        <w:endnoteReference w:id="78"/>
      </w:r>
      <w:r w:rsidR="00641429" w:rsidRPr="00E56B4D">
        <w:rPr>
          <w:rFonts w:ascii="Century Schoolbook" w:hAnsi="Century Schoolbook" w:cs="Times New Roman"/>
        </w:rPr>
        <w:t xml:space="preserve">  A private company called </w:t>
      </w:r>
      <w:proofErr w:type="spellStart"/>
      <w:r w:rsidR="00641429" w:rsidRPr="00E56B4D">
        <w:rPr>
          <w:rFonts w:ascii="Century Schoolbook" w:hAnsi="Century Schoolbook" w:cs="Times New Roman"/>
        </w:rPr>
        <w:t>ChoicePoint</w:t>
      </w:r>
      <w:proofErr w:type="spellEnd"/>
      <w:r w:rsidR="00641429" w:rsidRPr="00E56B4D">
        <w:rPr>
          <w:rFonts w:ascii="Century Schoolbook" w:hAnsi="Century Schoolbook" w:cs="Times New Roman"/>
        </w:rPr>
        <w:t>, Inc. has amassed a database of ten billion records from public records around the country and then combines it with other data.</w:t>
      </w:r>
      <w:r w:rsidR="00641429" w:rsidRPr="00E56B4D">
        <w:rPr>
          <w:rStyle w:val="EndnoteReference"/>
          <w:rFonts w:ascii="Century Schoolbook" w:hAnsi="Century Schoolbook" w:cs="Times New Roman"/>
        </w:rPr>
        <w:endnoteReference w:id="79"/>
      </w:r>
      <w:r w:rsidR="00641429" w:rsidRPr="00E56B4D">
        <w:rPr>
          <w:rFonts w:ascii="Century Schoolbook" w:hAnsi="Century Schoolbook" w:cs="Times New Roman"/>
        </w:rPr>
        <w:t xml:space="preserve">  They have had contracts with at least thirty-five federal agencies; including the Justice Department which signed an $8 million contract and the IRS that signed a contract between $8 and $12 million.</w:t>
      </w:r>
      <w:r w:rsidR="00641429" w:rsidRPr="00E56B4D">
        <w:rPr>
          <w:rStyle w:val="EndnoteReference"/>
          <w:rFonts w:ascii="Century Schoolbook" w:hAnsi="Century Schoolbook" w:cs="Times New Roman"/>
        </w:rPr>
        <w:endnoteReference w:id="80"/>
      </w:r>
      <w:r w:rsidR="00641429" w:rsidRPr="00E56B4D">
        <w:rPr>
          <w:rFonts w:ascii="Century Schoolbook" w:hAnsi="Century Schoolbook" w:cs="Times New Roman"/>
        </w:rPr>
        <w:t xml:space="preserve">  Our privacy is already being degraded</w:t>
      </w:r>
      <w:r w:rsidR="00AD3303">
        <w:rPr>
          <w:rFonts w:ascii="Century Schoolbook" w:hAnsi="Century Schoolbook" w:cs="Times New Roman"/>
        </w:rPr>
        <w:t>, and ignoring the transparency concerns to protect privacy will hurt both privacy and transparency</w:t>
      </w:r>
      <w:r w:rsidR="00641429" w:rsidRPr="00E56B4D">
        <w:rPr>
          <w:rFonts w:ascii="Century Schoolbook" w:hAnsi="Century Schoolbook" w:cs="Times New Roman"/>
        </w:rPr>
        <w:t xml:space="preserve">.  By accepting a position that the public has a right to the data, the public, government, and the courts can begin to establish criteria and controls to allow </w:t>
      </w:r>
      <w:r w:rsidR="00625EEA" w:rsidRPr="00E56B4D">
        <w:rPr>
          <w:rFonts w:ascii="Century Schoolbook" w:hAnsi="Century Schoolbook" w:cs="Times New Roman"/>
        </w:rPr>
        <w:t xml:space="preserve">access to protect privacy </w:t>
      </w:r>
      <w:r w:rsidR="000A79FA" w:rsidRPr="00E56B4D">
        <w:rPr>
          <w:rFonts w:ascii="Century Schoolbook" w:hAnsi="Century Schoolbook" w:cs="Times New Roman"/>
        </w:rPr>
        <w:t xml:space="preserve">of </w:t>
      </w:r>
      <w:r w:rsidR="00625EEA" w:rsidRPr="00E56B4D">
        <w:rPr>
          <w:rFonts w:ascii="Century Schoolbook" w:hAnsi="Century Schoolbook" w:cs="Times New Roman"/>
        </w:rPr>
        <w:t>this</w:t>
      </w:r>
      <w:r w:rsidR="00641429" w:rsidRPr="00E56B4D">
        <w:rPr>
          <w:rFonts w:ascii="Century Schoolbook" w:hAnsi="Century Schoolbook" w:cs="Times New Roman"/>
        </w:rPr>
        <w:t xml:space="preserve"> data.</w:t>
      </w:r>
      <w:r w:rsidR="00625EEA" w:rsidRPr="00E56B4D">
        <w:rPr>
          <w:rFonts w:ascii="Century Schoolbook" w:hAnsi="Century Schoolbook" w:cs="Times New Roman"/>
        </w:rPr>
        <w:t xml:space="preserve">  </w:t>
      </w:r>
    </w:p>
    <w:p w:rsidR="0065719F" w:rsidRDefault="00641429" w:rsidP="0002068B">
      <w:pPr>
        <w:pStyle w:val="Text"/>
        <w:spacing w:before="100" w:beforeAutospacing="1" w:after="240"/>
        <w:jc w:val="both"/>
        <w:rPr>
          <w:rFonts w:ascii="Century Schoolbook" w:hAnsi="Century Schoolbook" w:cs="Times New Roman"/>
        </w:rPr>
      </w:pPr>
      <w:r w:rsidRPr="00BD7187">
        <w:rPr>
          <w:rFonts w:ascii="Century Schoolbook" w:hAnsi="Century Schoolbook" w:cs="Times New Roman"/>
        </w:rPr>
        <w:lastRenderedPageBreak/>
        <w:t xml:space="preserve">The government has also already started to display private information to the public in other ways as well.  </w:t>
      </w:r>
      <w:r w:rsidR="00BD7187" w:rsidRPr="00BD7187">
        <w:rPr>
          <w:rFonts w:ascii="Century Schoolbook" w:hAnsi="Century Schoolbook" w:cs="Times New Roman"/>
        </w:rPr>
        <w:t>The reasons for displaying private data have been expanding, individuals have been permanently labeled by this data, powerless subsections of the population are being disproportionately affected by this release, and third parties are finding ways to circumvent the privacy protections.</w:t>
      </w:r>
      <w:r w:rsidR="00BD7187" w:rsidRPr="00E56B4D">
        <w:rPr>
          <w:rFonts w:ascii="Century Schoolbook" w:hAnsi="Century Schoolbook" w:cs="Times New Roman"/>
        </w:rPr>
        <w:t xml:space="preserve">  </w:t>
      </w:r>
      <w:r w:rsidRPr="00E56B4D">
        <w:rPr>
          <w:rFonts w:ascii="Century Schoolbook" w:hAnsi="Century Schoolbook" w:cs="Times New Roman"/>
        </w:rPr>
        <w:t>Most states have adopted Megan’s Laws that mandate the disclosure of personal information of convicted sex offenders.</w:t>
      </w:r>
      <w:r w:rsidRPr="00E56B4D">
        <w:rPr>
          <w:rStyle w:val="EndnoteReference"/>
          <w:rFonts w:ascii="Century Schoolbook" w:hAnsi="Century Schoolbook" w:cs="Times New Roman"/>
        </w:rPr>
        <w:endnoteReference w:id="81"/>
      </w:r>
      <w:r w:rsidRPr="00E56B4D">
        <w:rPr>
          <w:rFonts w:ascii="Century Schoolbook" w:hAnsi="Century Schoolbook" w:cs="Times New Roman"/>
        </w:rPr>
        <w:t xml:space="preserve">  In </w:t>
      </w:r>
      <w:r w:rsidRPr="00E56B4D">
        <w:rPr>
          <w:rFonts w:ascii="Century Schoolbook" w:hAnsi="Century Schoolbook" w:cs="Times New Roman"/>
          <w:i/>
        </w:rPr>
        <w:t xml:space="preserve">Russell v. </w:t>
      </w:r>
      <w:proofErr w:type="spellStart"/>
      <w:r w:rsidRPr="00E56B4D">
        <w:rPr>
          <w:rFonts w:ascii="Century Schoolbook" w:hAnsi="Century Schoolbook" w:cs="Times New Roman"/>
          <w:i/>
        </w:rPr>
        <w:t>Gregoire</w:t>
      </w:r>
      <w:proofErr w:type="spellEnd"/>
      <w:r w:rsidRPr="00E56B4D">
        <w:rPr>
          <w:rFonts w:ascii="Century Schoolbook" w:hAnsi="Century Schoolbook" w:cs="Times New Roman"/>
        </w:rPr>
        <w:t>, the ninth cir</w:t>
      </w:r>
      <w:r w:rsidR="00C75556">
        <w:rPr>
          <w:rFonts w:ascii="Century Schoolbook" w:hAnsi="Century Schoolbook" w:cs="Times New Roman"/>
        </w:rPr>
        <w:t>c</w:t>
      </w:r>
      <w:r w:rsidRPr="00E56B4D">
        <w:rPr>
          <w:rFonts w:ascii="Century Schoolbook" w:hAnsi="Century Schoolbook" w:cs="Times New Roman"/>
        </w:rPr>
        <w:t>uit court of appeals upheld a Washington’s sex offender statute, which provided for the electronic, internet disclosure of the offenders personal information.</w:t>
      </w:r>
      <w:r w:rsidRPr="00E56B4D">
        <w:rPr>
          <w:rStyle w:val="EndnoteReference"/>
          <w:rFonts w:ascii="Century Schoolbook" w:hAnsi="Century Schoolbook" w:cs="Times New Roman"/>
        </w:rPr>
        <w:endnoteReference w:id="82"/>
      </w:r>
      <w:r w:rsidRPr="00E56B4D">
        <w:rPr>
          <w:rFonts w:ascii="Century Schoolbook" w:hAnsi="Century Schoolbook" w:cs="Times New Roman"/>
        </w:rPr>
        <w:t xml:space="preserve">  The court held that the information was not private because it was “already fully available to the public.”</w:t>
      </w:r>
      <w:r w:rsidRPr="00E56B4D">
        <w:rPr>
          <w:rStyle w:val="EndnoteReference"/>
          <w:rFonts w:ascii="Century Schoolbook" w:hAnsi="Century Schoolbook" w:cs="Times New Roman"/>
        </w:rPr>
        <w:endnoteReference w:id="83"/>
      </w:r>
      <w:r w:rsidRPr="00E56B4D">
        <w:rPr>
          <w:rFonts w:ascii="Century Schoolbook" w:hAnsi="Century Schoolbook" w:cs="Times New Roman"/>
        </w:rPr>
        <w:t xml:space="preserve">  </w:t>
      </w:r>
    </w:p>
    <w:p w:rsidR="00641429" w:rsidRPr="00E56B4D" w:rsidRDefault="00645081"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t>This creates another</w:t>
      </w:r>
      <w:r w:rsidR="00C75556">
        <w:rPr>
          <w:rFonts w:ascii="Century Schoolbook" w:hAnsi="Century Schoolbook" w:cs="Times New Roman"/>
        </w:rPr>
        <w:t xml:space="preserve"> problem</w:t>
      </w:r>
      <w:r w:rsidR="00641429" w:rsidRPr="00E56B4D">
        <w:rPr>
          <w:rFonts w:ascii="Century Schoolbook" w:hAnsi="Century Schoolbook" w:cs="Times New Roman"/>
        </w:rPr>
        <w:t>, a lot of times</w:t>
      </w:r>
      <w:r w:rsidR="00AD3303">
        <w:rPr>
          <w:rFonts w:ascii="Century Schoolbook" w:hAnsi="Century Schoolbook" w:cs="Times New Roman"/>
        </w:rPr>
        <w:t xml:space="preserve"> data can be </w:t>
      </w:r>
      <w:r w:rsidR="00641429" w:rsidRPr="00E56B4D">
        <w:rPr>
          <w:rFonts w:ascii="Century Schoolbook" w:hAnsi="Century Schoolbook" w:cs="Times New Roman"/>
        </w:rPr>
        <w:t>inaccurate.</w:t>
      </w:r>
      <w:r w:rsidR="00641429" w:rsidRPr="00E56B4D">
        <w:rPr>
          <w:rStyle w:val="EndnoteReference"/>
          <w:rFonts w:ascii="Century Schoolbook" w:hAnsi="Century Schoolbook" w:cs="Times New Roman"/>
        </w:rPr>
        <w:endnoteReference w:id="84"/>
      </w:r>
      <w:r w:rsidR="00641429" w:rsidRPr="00E56B4D">
        <w:rPr>
          <w:rFonts w:ascii="Century Schoolbook" w:hAnsi="Century Schoolbook" w:cs="Times New Roman"/>
        </w:rPr>
        <w:t xml:space="preserve">  Fully releasing the data, we can correct it, but if we don’t know about the data we can’t correct.  Decisions about </w:t>
      </w:r>
      <w:r w:rsidR="00B87629" w:rsidRPr="00E56B4D">
        <w:rPr>
          <w:rFonts w:ascii="Century Schoolbook" w:hAnsi="Century Schoolbook" w:cs="Times New Roman"/>
        </w:rPr>
        <w:t>citizens</w:t>
      </w:r>
      <w:r w:rsidR="00641429" w:rsidRPr="00E56B4D">
        <w:rPr>
          <w:rFonts w:ascii="Century Schoolbook" w:hAnsi="Century Schoolbook" w:cs="Times New Roman"/>
        </w:rPr>
        <w:t xml:space="preserve"> could be made on this false information</w:t>
      </w:r>
      <w:r w:rsidR="00C75556">
        <w:rPr>
          <w:rFonts w:ascii="Century Schoolbook" w:hAnsi="Century Schoolbook" w:cs="Times New Roman"/>
        </w:rPr>
        <w:t xml:space="preserve"> without the individual citizen knowing</w:t>
      </w:r>
      <w:r w:rsidR="00641429" w:rsidRPr="00E56B4D">
        <w:rPr>
          <w:rFonts w:ascii="Century Schoolbook" w:hAnsi="Century Schoolbook" w:cs="Times New Roman"/>
        </w:rPr>
        <w:t xml:space="preserve">.  </w:t>
      </w:r>
      <w:r w:rsidR="00C75556">
        <w:rPr>
          <w:rFonts w:ascii="Century Schoolbook" w:hAnsi="Century Schoolbook" w:cs="Times New Roman"/>
        </w:rPr>
        <w:t>Furthermore</w:t>
      </w:r>
      <w:r w:rsidR="00641429" w:rsidRPr="00E56B4D">
        <w:rPr>
          <w:rFonts w:ascii="Century Schoolbook" w:hAnsi="Century Schoolbook" w:cs="Times New Roman"/>
        </w:rPr>
        <w:t>, governments have had a long history of social control</w:t>
      </w:r>
      <w:r w:rsidR="00C75556">
        <w:rPr>
          <w:rFonts w:ascii="Century Schoolbook" w:hAnsi="Century Schoolbook" w:cs="Times New Roman"/>
        </w:rPr>
        <w:t xml:space="preserve"> and this use of permanent data on private individual could be used as a societal control</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85"/>
      </w:r>
      <w:r w:rsidR="00641429" w:rsidRPr="00E56B4D">
        <w:rPr>
          <w:rFonts w:ascii="Century Schoolbook" w:hAnsi="Century Schoolbook" w:cs="Times New Roman"/>
        </w:rPr>
        <w:t xml:space="preserve">  Many states have laws to prevent felons from participating in juries or voting</w:t>
      </w:r>
      <w:r w:rsidR="00C75556">
        <w:rPr>
          <w:rFonts w:ascii="Century Schoolbook" w:hAnsi="Century Schoolbook" w:cs="Times New Roman"/>
        </w:rPr>
        <w:t xml:space="preserve"> and an individual’s felony status is stored in these </w:t>
      </w:r>
      <w:r w:rsidR="00DB0F5D">
        <w:rPr>
          <w:rFonts w:ascii="Century Schoolbook" w:hAnsi="Century Schoolbook" w:cs="Times New Roman"/>
        </w:rPr>
        <w:t>court and litigation</w:t>
      </w:r>
      <w:r w:rsidR="00C75556">
        <w:rPr>
          <w:rFonts w:ascii="Century Schoolbook" w:hAnsi="Century Schoolbook" w:cs="Times New Roman"/>
        </w:rPr>
        <w:t xml:space="preserve"> databases</w:t>
      </w:r>
      <w:r w:rsidR="00641429" w:rsidRPr="00E56B4D">
        <w:rPr>
          <w:rFonts w:ascii="Century Schoolbook" w:hAnsi="Century Schoolbook" w:cs="Times New Roman"/>
        </w:rPr>
        <w:t>.  As the state is more able to control and create data, it could easily start reducing rights for other things.  It has been argued that using data to track felons and prevent them from rights has c</w:t>
      </w:r>
      <w:r w:rsidR="009F213B" w:rsidRPr="00E56B4D">
        <w:rPr>
          <w:rFonts w:ascii="Century Schoolbook" w:hAnsi="Century Schoolbook" w:cs="Times New Roman"/>
        </w:rPr>
        <w:t>reated a new era of “</w:t>
      </w:r>
      <w:proofErr w:type="spellStart"/>
      <w:r w:rsidR="009F213B" w:rsidRPr="00E56B4D">
        <w:rPr>
          <w:rFonts w:ascii="Century Schoolbook" w:hAnsi="Century Schoolbook" w:cs="Times New Roman"/>
        </w:rPr>
        <w:t>Dred</w:t>
      </w:r>
      <w:proofErr w:type="spellEnd"/>
      <w:r w:rsidR="009F213B" w:rsidRPr="00E56B4D">
        <w:rPr>
          <w:rFonts w:ascii="Century Schoolbook" w:hAnsi="Century Schoolbook" w:cs="Times New Roman"/>
        </w:rPr>
        <w:t xml:space="preserve"> Scott,</w:t>
      </w:r>
      <w:r w:rsidR="00641429" w:rsidRPr="00E56B4D">
        <w:rPr>
          <w:rFonts w:ascii="Century Schoolbook" w:hAnsi="Century Schoolbook" w:cs="Times New Roman"/>
        </w:rPr>
        <w:t>”</w:t>
      </w:r>
      <w:r w:rsidR="009F213B" w:rsidRPr="00E56B4D">
        <w:rPr>
          <w:rFonts w:ascii="Century Schoolbook" w:hAnsi="Century Schoolbook" w:cs="Times New Roman"/>
        </w:rPr>
        <w:t xml:space="preserve"> since the population effected by this activity is largely minorities and lower </w:t>
      </w:r>
      <w:r w:rsidR="009F213B" w:rsidRPr="00E56B4D">
        <w:rPr>
          <w:rFonts w:ascii="Century Schoolbook" w:hAnsi="Century Schoolbook" w:cs="Times New Roman"/>
        </w:rPr>
        <w:lastRenderedPageBreak/>
        <w:t>income.</w:t>
      </w:r>
      <w:r w:rsidR="00641429" w:rsidRPr="00E56B4D">
        <w:rPr>
          <w:rStyle w:val="EndnoteReference"/>
          <w:rFonts w:ascii="Century Schoolbook" w:hAnsi="Century Schoolbook" w:cs="Times New Roman"/>
        </w:rPr>
        <w:endnoteReference w:id="86"/>
      </w:r>
      <w:r w:rsidR="00641429" w:rsidRPr="00E56B4D">
        <w:rPr>
          <w:rFonts w:ascii="Century Schoolbook" w:hAnsi="Century Schoolbook" w:cs="Times New Roman"/>
        </w:rPr>
        <w:t xml:space="preserve">  Both at the Federal and State level, these initiativ</w:t>
      </w:r>
      <w:r w:rsidR="00C75556">
        <w:rPr>
          <w:rFonts w:ascii="Century Schoolbook" w:hAnsi="Century Schoolbook" w:cs="Times New Roman"/>
        </w:rPr>
        <w:t>es to permanently track citizen data</w:t>
      </w:r>
      <w:r w:rsidR="00641429" w:rsidRPr="00E56B4D">
        <w:rPr>
          <w:rFonts w:ascii="Century Schoolbook" w:hAnsi="Century Schoolbook" w:cs="Times New Roman"/>
        </w:rPr>
        <w:t xml:space="preserve"> </w:t>
      </w:r>
      <w:r w:rsidR="00FE5AE4">
        <w:rPr>
          <w:rFonts w:ascii="Century Schoolbook" w:hAnsi="Century Schoolbook" w:cs="Times New Roman"/>
        </w:rPr>
        <w:t xml:space="preserve">and have </w:t>
      </w:r>
      <w:r w:rsidR="00641429" w:rsidRPr="00E56B4D">
        <w:rPr>
          <w:rFonts w:ascii="Century Schoolbook" w:hAnsi="Century Schoolbook" w:cs="Times New Roman"/>
        </w:rPr>
        <w:t>created citizens that are barred from public housing, barred from food stamps, forced to “check the box” on employment applications, denied licenses to a wide range of professions, and locked out of the main stream society.</w:t>
      </w:r>
      <w:r w:rsidR="00641429" w:rsidRPr="00E56B4D">
        <w:rPr>
          <w:rStyle w:val="EndnoteReference"/>
          <w:rFonts w:ascii="Century Schoolbook" w:hAnsi="Century Schoolbook" w:cs="Times New Roman"/>
        </w:rPr>
        <w:endnoteReference w:id="87"/>
      </w:r>
      <w:r w:rsidR="00641429" w:rsidRPr="00E56B4D">
        <w:rPr>
          <w:rFonts w:ascii="Century Schoolbook" w:hAnsi="Century Schoolbook" w:cs="Times New Roman"/>
        </w:rPr>
        <w:t xml:space="preserve"> </w:t>
      </w:r>
      <w:r w:rsidR="003A22A7" w:rsidRPr="00E56B4D">
        <w:rPr>
          <w:rFonts w:ascii="Century Schoolbook" w:hAnsi="Century Schoolbook" w:cs="Times New Roman"/>
        </w:rPr>
        <w:t xml:space="preserve"> </w:t>
      </w:r>
      <w:r w:rsidR="006F07A6">
        <w:rPr>
          <w:rFonts w:ascii="Century Schoolbook" w:hAnsi="Century Schoolbook" w:cs="Times New Roman"/>
        </w:rPr>
        <w:t xml:space="preserve">It has been argued that </w:t>
      </w:r>
      <w:r w:rsidR="00AD3303">
        <w:rPr>
          <w:rFonts w:ascii="Century Schoolbook" w:hAnsi="Century Schoolbook" w:cs="Times New Roman"/>
        </w:rPr>
        <w:t xml:space="preserve">electronic </w:t>
      </w:r>
      <w:r w:rsidR="00C75556">
        <w:rPr>
          <w:rFonts w:ascii="Century Schoolbook" w:hAnsi="Century Schoolbook" w:cs="Times New Roman"/>
        </w:rPr>
        <w:t xml:space="preserve">data is </w:t>
      </w:r>
      <w:r w:rsidR="009F213B" w:rsidRPr="00E56B4D">
        <w:rPr>
          <w:rFonts w:ascii="Century Schoolbook" w:hAnsi="Century Schoolbook" w:cs="Times New Roman"/>
        </w:rPr>
        <w:t>creating</w:t>
      </w:r>
      <w:r w:rsidR="00641429" w:rsidRPr="00E56B4D">
        <w:rPr>
          <w:rFonts w:ascii="Century Schoolbook" w:hAnsi="Century Schoolbook" w:cs="Times New Roman"/>
        </w:rPr>
        <w:t xml:space="preserve"> a permanent caste system</w:t>
      </w:r>
      <w:r w:rsidR="00C75556">
        <w:rPr>
          <w:rFonts w:ascii="Century Schoolbook" w:hAnsi="Century Schoolbook" w:cs="Times New Roman"/>
        </w:rPr>
        <w:t xml:space="preserve"> out of certain sections of the population</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88"/>
      </w:r>
      <w:r w:rsidR="00641429" w:rsidRPr="00E56B4D">
        <w:rPr>
          <w:rFonts w:ascii="Century Schoolbook" w:hAnsi="Century Schoolbook" w:cs="Times New Roman"/>
        </w:rPr>
        <w:t xml:space="preserve">  Since the 1980s </w:t>
      </w:r>
      <w:r w:rsidR="006F07A6">
        <w:rPr>
          <w:rFonts w:ascii="Century Schoolbook" w:hAnsi="Century Schoolbook" w:cs="Times New Roman"/>
        </w:rPr>
        <w:t xml:space="preserve">of </w:t>
      </w:r>
      <w:r w:rsidR="00641429" w:rsidRPr="00E56B4D">
        <w:rPr>
          <w:rFonts w:ascii="Century Schoolbook" w:hAnsi="Century Schoolbook" w:cs="Times New Roman"/>
        </w:rPr>
        <w:t xml:space="preserve">more than 31 million people in the United States </w:t>
      </w:r>
      <w:r w:rsidR="006F07A6">
        <w:rPr>
          <w:rFonts w:ascii="Century Schoolbook" w:hAnsi="Century Schoolbook" w:cs="Times New Roman"/>
        </w:rPr>
        <w:t xml:space="preserve">that </w:t>
      </w:r>
      <w:r w:rsidR="00641429" w:rsidRPr="00E56B4D">
        <w:rPr>
          <w:rFonts w:ascii="Century Schoolbook" w:hAnsi="Century Schoolbook" w:cs="Times New Roman"/>
        </w:rPr>
        <w:t xml:space="preserve">have an arrest for </w:t>
      </w:r>
      <w:r w:rsidR="009F213B" w:rsidRPr="00E56B4D">
        <w:rPr>
          <w:rFonts w:ascii="Century Schoolbook" w:hAnsi="Century Schoolbook" w:cs="Times New Roman"/>
        </w:rPr>
        <w:t xml:space="preserve">a </w:t>
      </w:r>
      <w:r w:rsidR="008E5F11">
        <w:rPr>
          <w:rFonts w:ascii="Century Schoolbook" w:hAnsi="Century Schoolbook" w:cs="Times New Roman"/>
        </w:rPr>
        <w:t xml:space="preserve">non-violent </w:t>
      </w:r>
      <w:r w:rsidR="009F213B" w:rsidRPr="00E56B4D">
        <w:rPr>
          <w:rFonts w:ascii="Century Schoolbook" w:hAnsi="Century Schoolbook" w:cs="Times New Roman"/>
        </w:rPr>
        <w:t>drug offense</w:t>
      </w:r>
      <w:r w:rsidR="006F07A6">
        <w:rPr>
          <w:rFonts w:ascii="Century Schoolbook" w:hAnsi="Century Schoolbook" w:cs="Times New Roman"/>
        </w:rPr>
        <w:t>, the large majority are</w:t>
      </w:r>
      <w:r w:rsidR="00641429" w:rsidRPr="00E56B4D">
        <w:rPr>
          <w:rFonts w:ascii="Century Schoolbook" w:hAnsi="Century Schoolbook" w:cs="Times New Roman"/>
        </w:rPr>
        <w:t xml:space="preserve"> </w:t>
      </w:r>
      <w:r w:rsidR="00AD3303">
        <w:rPr>
          <w:rFonts w:ascii="Century Schoolbook" w:hAnsi="Century Schoolbook" w:cs="Times New Roman"/>
        </w:rPr>
        <w:t>poor or minorities</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89"/>
      </w:r>
      <w:r w:rsidR="00641429" w:rsidRPr="00E56B4D">
        <w:rPr>
          <w:rFonts w:ascii="Century Schoolbook" w:hAnsi="Century Schoolbook" w:cs="Times New Roman"/>
        </w:rPr>
        <w:t xml:space="preserve">  Those sectors of the population that are labeled don’t have influence, power, or money to protect their own data</w:t>
      </w:r>
      <w:r w:rsidR="008E5F11">
        <w:rPr>
          <w:rFonts w:ascii="Century Schoolbook" w:hAnsi="Century Schoolbook" w:cs="Times New Roman"/>
        </w:rPr>
        <w:t>, individually</w:t>
      </w:r>
      <w:r w:rsidR="006F07A6">
        <w:rPr>
          <w:rFonts w:ascii="Century Schoolbook" w:hAnsi="Century Schoolbook" w:cs="Times New Roman"/>
        </w:rPr>
        <w:t>.</w:t>
      </w:r>
    </w:p>
    <w:p w:rsidR="00641429" w:rsidRPr="00E56B4D" w:rsidRDefault="00641429" w:rsidP="0002068B">
      <w:pPr>
        <w:pStyle w:val="Text"/>
        <w:spacing w:before="100" w:beforeAutospacing="1" w:after="240"/>
        <w:jc w:val="both"/>
        <w:rPr>
          <w:rFonts w:ascii="Century Schoolbook" w:hAnsi="Century Schoolbook" w:cs="Times New Roman"/>
        </w:rPr>
      </w:pPr>
      <w:r w:rsidRPr="00E56B4D">
        <w:rPr>
          <w:rFonts w:ascii="Century Schoolbook" w:hAnsi="Century Schoolbook" w:cs="Times New Roman"/>
        </w:rPr>
        <w:t xml:space="preserve">Several federal mandates have imposed </w:t>
      </w:r>
      <w:r w:rsidR="00BD7187">
        <w:rPr>
          <w:rFonts w:ascii="Century Schoolbook" w:hAnsi="Century Schoolbook" w:cs="Times New Roman"/>
        </w:rPr>
        <w:t xml:space="preserve">data collection and access </w:t>
      </w:r>
      <w:r w:rsidRPr="00E56B4D">
        <w:rPr>
          <w:rFonts w:ascii="Century Schoolbook" w:hAnsi="Century Schoolbook" w:cs="Times New Roman"/>
        </w:rPr>
        <w:t xml:space="preserve">requirements on state courts and agencies including the National Child Protection Act of 1993, the Brady Handgun Violence Prevention Act, the Jacob </w:t>
      </w:r>
      <w:proofErr w:type="spellStart"/>
      <w:r w:rsidRPr="00E56B4D">
        <w:rPr>
          <w:rFonts w:ascii="Century Schoolbook" w:hAnsi="Century Schoolbook" w:cs="Times New Roman"/>
        </w:rPr>
        <w:t>Wetterling</w:t>
      </w:r>
      <w:proofErr w:type="spellEnd"/>
      <w:r w:rsidRPr="00E56B4D">
        <w:rPr>
          <w:rFonts w:ascii="Century Schoolbook" w:hAnsi="Century Schoolbook" w:cs="Times New Roman"/>
        </w:rPr>
        <w:t xml:space="preserve"> Act (including Megan’s Law), the Pam </w:t>
      </w:r>
      <w:proofErr w:type="spellStart"/>
      <w:r w:rsidRPr="00E56B4D">
        <w:rPr>
          <w:rFonts w:ascii="Century Schoolbook" w:hAnsi="Century Schoolbook" w:cs="Times New Roman"/>
        </w:rPr>
        <w:t>Lychner</w:t>
      </w:r>
      <w:proofErr w:type="spellEnd"/>
      <w:r w:rsidRPr="00E56B4D">
        <w:rPr>
          <w:rFonts w:ascii="Century Schoolbook" w:hAnsi="Century Schoolbook" w:cs="Times New Roman"/>
        </w:rPr>
        <w:t xml:space="preserve"> Act, the 1994 Violent Crime Control and the Law Enforcement Act.</w:t>
      </w:r>
      <w:r w:rsidRPr="00E56B4D">
        <w:rPr>
          <w:rStyle w:val="EndnoteReference"/>
          <w:rFonts w:ascii="Century Schoolbook" w:hAnsi="Century Schoolbook" w:cs="Times New Roman"/>
        </w:rPr>
        <w:endnoteReference w:id="90"/>
      </w:r>
      <w:r w:rsidRPr="00E56B4D">
        <w:rPr>
          <w:rFonts w:ascii="Century Schoolbook" w:hAnsi="Century Schoolbook" w:cs="Times New Roman"/>
        </w:rPr>
        <w:t xml:space="preserve">  Initiatives and agency rules </w:t>
      </w:r>
      <w:r w:rsidR="00B1511D">
        <w:rPr>
          <w:rFonts w:ascii="Century Schoolbook" w:hAnsi="Century Schoolbook" w:cs="Times New Roman"/>
        </w:rPr>
        <w:t xml:space="preserve">regulating </w:t>
      </w:r>
      <w:r w:rsidRPr="00E56B4D">
        <w:rPr>
          <w:rFonts w:ascii="Century Schoolbook" w:hAnsi="Century Schoolbook" w:cs="Times New Roman"/>
        </w:rPr>
        <w:t xml:space="preserve">immigration have added database </w:t>
      </w:r>
      <w:r w:rsidR="00B1511D">
        <w:rPr>
          <w:rFonts w:ascii="Century Schoolbook" w:hAnsi="Century Schoolbook" w:cs="Times New Roman"/>
        </w:rPr>
        <w:t xml:space="preserve">interoperability </w:t>
      </w:r>
      <w:r w:rsidR="008E5F11">
        <w:rPr>
          <w:rFonts w:ascii="Century Schoolbook" w:hAnsi="Century Schoolbook" w:cs="Times New Roman"/>
        </w:rPr>
        <w:t xml:space="preserve">between state agencies, </w:t>
      </w:r>
      <w:r w:rsidR="00B1511D">
        <w:rPr>
          <w:rFonts w:ascii="Century Schoolbook" w:hAnsi="Century Schoolbook" w:cs="Times New Roman"/>
        </w:rPr>
        <w:t xml:space="preserve">the </w:t>
      </w:r>
      <w:r w:rsidRPr="00E56B4D">
        <w:rPr>
          <w:rFonts w:ascii="Century Schoolbook" w:hAnsi="Century Schoolbook" w:cs="Times New Roman"/>
        </w:rPr>
        <w:t>FBI</w:t>
      </w:r>
      <w:r w:rsidR="008E5F11">
        <w:rPr>
          <w:rFonts w:ascii="Century Schoolbook" w:hAnsi="Century Schoolbook" w:cs="Times New Roman"/>
        </w:rPr>
        <w:t>,</w:t>
      </w:r>
      <w:r w:rsidR="00B1511D">
        <w:rPr>
          <w:rFonts w:ascii="Century Schoolbook" w:hAnsi="Century Schoolbook" w:cs="Times New Roman"/>
        </w:rPr>
        <w:t xml:space="preserve"> and ICE like t</w:t>
      </w:r>
      <w:r w:rsidRPr="00E56B4D">
        <w:rPr>
          <w:rFonts w:ascii="Century Schoolbook" w:hAnsi="Century Schoolbook" w:cs="Times New Roman"/>
        </w:rPr>
        <w:t>he Secure Communities of U.S. Immigration and Customs Enforcement.</w:t>
      </w:r>
      <w:r w:rsidRPr="00E56B4D">
        <w:rPr>
          <w:rStyle w:val="EndnoteReference"/>
          <w:rFonts w:ascii="Century Schoolbook" w:hAnsi="Century Schoolbook" w:cs="Times New Roman"/>
        </w:rPr>
        <w:endnoteReference w:id="91"/>
      </w:r>
      <w:r w:rsidR="009F213B" w:rsidRPr="00E56B4D">
        <w:rPr>
          <w:rFonts w:ascii="Century Schoolbook" w:hAnsi="Century Schoolbook" w:cs="Times New Roman"/>
        </w:rPr>
        <w:t xml:space="preserve">  </w:t>
      </w:r>
      <w:r w:rsidR="004A527B" w:rsidRPr="00E56B4D">
        <w:rPr>
          <w:rFonts w:ascii="Century Schoolbook" w:hAnsi="Century Schoolbook" w:cs="Times New Roman"/>
        </w:rPr>
        <w:t>Governmental agencies are using data to track, label, and limit rights to a widening class of citizens.</w:t>
      </w:r>
      <w:r w:rsidR="004A527B">
        <w:rPr>
          <w:rFonts w:ascii="Century Schoolbook" w:hAnsi="Century Schoolbook" w:cs="Times New Roman"/>
        </w:rPr>
        <w:t xml:space="preserve">  This is all being done</w:t>
      </w:r>
      <w:r w:rsidR="00B1511D">
        <w:rPr>
          <w:rFonts w:ascii="Century Schoolbook" w:hAnsi="Century Schoolbook" w:cs="Times New Roman"/>
        </w:rPr>
        <w:t xml:space="preserve"> under the justification of </w:t>
      </w:r>
      <w:r w:rsidR="00AE1B70" w:rsidRPr="00E56B4D">
        <w:rPr>
          <w:rFonts w:ascii="Century Schoolbook" w:hAnsi="Century Schoolbook" w:cs="Times New Roman"/>
        </w:rPr>
        <w:t xml:space="preserve">public </w:t>
      </w:r>
      <w:r w:rsidR="004A527B">
        <w:rPr>
          <w:rFonts w:ascii="Century Schoolbook" w:hAnsi="Century Schoolbook" w:cs="Times New Roman"/>
        </w:rPr>
        <w:t xml:space="preserve">use while </w:t>
      </w:r>
      <w:r w:rsidR="008E5F11">
        <w:rPr>
          <w:rFonts w:ascii="Century Schoolbook" w:hAnsi="Century Schoolbook" w:cs="Times New Roman"/>
        </w:rPr>
        <w:t>an effective access to the data that would show the outcomes of these policies is either un-accessible or not allowed</w:t>
      </w:r>
      <w:r w:rsidR="004A527B">
        <w:rPr>
          <w:rFonts w:ascii="Century Schoolbook" w:hAnsi="Century Schoolbook" w:cs="Times New Roman"/>
        </w:rPr>
        <w:t>.</w:t>
      </w:r>
    </w:p>
    <w:p w:rsidR="00641429" w:rsidRPr="00E56B4D" w:rsidRDefault="00B66BA6"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lastRenderedPageBreak/>
        <w:t>Back to judicial databases</w:t>
      </w:r>
      <w:r w:rsidR="00641429" w:rsidRPr="00E56B4D">
        <w:rPr>
          <w:rFonts w:ascii="Century Schoolbook" w:hAnsi="Century Schoolbook" w:cs="Times New Roman"/>
        </w:rPr>
        <w:t xml:space="preserve">, the Supreme Court has been reluctant to broaden this justification of public information to statistical analysis of the government </w:t>
      </w:r>
      <w:r w:rsidR="00BD7187">
        <w:rPr>
          <w:rFonts w:ascii="Century Schoolbook" w:hAnsi="Century Schoolbook" w:cs="Times New Roman"/>
        </w:rPr>
        <w:t xml:space="preserve">databases. </w:t>
      </w:r>
      <w:proofErr w:type="spellStart"/>
      <w:r w:rsidR="00641429" w:rsidRPr="00E56B4D">
        <w:rPr>
          <w:rFonts w:ascii="Century Schoolbook" w:hAnsi="Century Schoolbook" w:cs="Times New Roman"/>
          <w:i/>
        </w:rPr>
        <w:t>McClesky</w:t>
      </w:r>
      <w:proofErr w:type="spellEnd"/>
      <w:r w:rsidR="00641429" w:rsidRPr="00E56B4D">
        <w:rPr>
          <w:rFonts w:ascii="Century Schoolbook" w:hAnsi="Century Schoolbook" w:cs="Times New Roman"/>
          <w:i/>
        </w:rPr>
        <w:t xml:space="preserve"> v. Kemp</w:t>
      </w:r>
      <w:r w:rsidR="00641429" w:rsidRPr="00E56B4D">
        <w:rPr>
          <w:rFonts w:ascii="Century Schoolbook" w:hAnsi="Century Schoolbook" w:cs="Times New Roman"/>
        </w:rPr>
        <w:t xml:space="preserve"> </w:t>
      </w:r>
      <w:r>
        <w:rPr>
          <w:rFonts w:ascii="Century Schoolbook" w:hAnsi="Century Schoolbook" w:cs="Times New Roman"/>
        </w:rPr>
        <w:t xml:space="preserve">highlights this </w:t>
      </w:r>
      <w:r w:rsidR="00641429" w:rsidRPr="00E56B4D">
        <w:rPr>
          <w:rFonts w:ascii="Century Schoolbook" w:hAnsi="Century Schoolbook" w:cs="Times New Roman"/>
        </w:rPr>
        <w:t xml:space="preserve">fear </w:t>
      </w:r>
      <w:r>
        <w:rPr>
          <w:rFonts w:ascii="Century Schoolbook" w:hAnsi="Century Schoolbook" w:cs="Times New Roman"/>
        </w:rPr>
        <w:t xml:space="preserve">of </w:t>
      </w:r>
      <w:r w:rsidR="00641429" w:rsidRPr="00E56B4D">
        <w:rPr>
          <w:rFonts w:ascii="Century Schoolbook" w:hAnsi="Century Schoolbook" w:cs="Times New Roman"/>
        </w:rPr>
        <w:t xml:space="preserve">databases and </w:t>
      </w:r>
      <w:r>
        <w:rPr>
          <w:rFonts w:ascii="Century Schoolbook" w:hAnsi="Century Schoolbook" w:cs="Times New Roman"/>
        </w:rPr>
        <w:t xml:space="preserve">analytics </w:t>
      </w:r>
      <w:r w:rsidR="00641429" w:rsidRPr="00E56B4D">
        <w:rPr>
          <w:rFonts w:ascii="Century Schoolbook" w:hAnsi="Century Schoolbook" w:cs="Times New Roman"/>
        </w:rPr>
        <w:t xml:space="preserve">as Justice Powell states, “[I]f we accepted </w:t>
      </w:r>
      <w:proofErr w:type="spellStart"/>
      <w:r w:rsidR="00641429" w:rsidRPr="00E56B4D">
        <w:rPr>
          <w:rFonts w:ascii="Century Schoolbook" w:hAnsi="Century Schoolbook" w:cs="Times New Roman"/>
        </w:rPr>
        <w:t>McCleskey's</w:t>
      </w:r>
      <w:proofErr w:type="spellEnd"/>
      <w:r w:rsidR="00641429" w:rsidRPr="00E56B4D">
        <w:rPr>
          <w:rFonts w:ascii="Century Schoolbook" w:hAnsi="Century Schoolbook" w:cs="Times New Roman"/>
        </w:rPr>
        <w:t xml:space="preserve"> </w:t>
      </w:r>
      <w:r>
        <w:rPr>
          <w:rFonts w:ascii="Century Schoolbook" w:hAnsi="Century Schoolbook" w:cs="Times New Roman"/>
        </w:rPr>
        <w:t>[</w:t>
      </w:r>
      <w:r w:rsidR="00641429" w:rsidRPr="00E56B4D">
        <w:rPr>
          <w:rFonts w:ascii="Century Schoolbook" w:hAnsi="Century Schoolbook" w:cs="Times New Roman"/>
        </w:rPr>
        <w:t>racial bias</w:t>
      </w:r>
      <w:r>
        <w:rPr>
          <w:rFonts w:ascii="Century Schoolbook" w:hAnsi="Century Schoolbook" w:cs="Times New Roman"/>
        </w:rPr>
        <w:t xml:space="preserve"> claim],…</w:t>
      </w:r>
      <w:r w:rsidR="00641429" w:rsidRPr="00E56B4D">
        <w:rPr>
          <w:rFonts w:ascii="Century Schoolbook" w:hAnsi="Century Schoolbook" w:cs="Times New Roman"/>
        </w:rPr>
        <w:t>we could soon be faced with similar claims as to other types of penalty [and]…claims could apply with equally logical force to statistical disparities that correlate with the race or sex of other actors in the criminal justice system.”</w:t>
      </w:r>
      <w:r w:rsidR="00641429" w:rsidRPr="00E56B4D">
        <w:rPr>
          <w:rStyle w:val="EndnoteReference"/>
          <w:rFonts w:ascii="Century Schoolbook" w:hAnsi="Century Schoolbook" w:cs="Times New Roman"/>
        </w:rPr>
        <w:endnoteReference w:id="92"/>
      </w:r>
      <w:r w:rsidR="00641429" w:rsidRPr="00E56B4D">
        <w:rPr>
          <w:rFonts w:ascii="Century Schoolbook" w:hAnsi="Century Schoolbook" w:cs="Times New Roman"/>
        </w:rPr>
        <w:t xml:space="preserve">  </w:t>
      </w:r>
      <w:r>
        <w:rPr>
          <w:rFonts w:ascii="Century Schoolbook" w:hAnsi="Century Schoolbook" w:cs="Times New Roman"/>
        </w:rPr>
        <w:t xml:space="preserve">There is a disparity between </w:t>
      </w:r>
      <w:r w:rsidR="00641429" w:rsidRPr="00E56B4D">
        <w:rPr>
          <w:rFonts w:ascii="Century Schoolbook" w:hAnsi="Century Schoolbook" w:cs="Times New Roman"/>
        </w:rPr>
        <w:t>justif</w:t>
      </w:r>
      <w:r>
        <w:rPr>
          <w:rFonts w:ascii="Century Schoolbook" w:hAnsi="Century Schoolbook" w:cs="Times New Roman"/>
        </w:rPr>
        <w:t xml:space="preserve">ying </w:t>
      </w:r>
      <w:r w:rsidR="00B1511D">
        <w:rPr>
          <w:rFonts w:ascii="Century Schoolbook" w:hAnsi="Century Schoolbook" w:cs="Times New Roman"/>
        </w:rPr>
        <w:t xml:space="preserve">the </w:t>
      </w:r>
      <w:r w:rsidR="00641429" w:rsidRPr="00E56B4D">
        <w:rPr>
          <w:rFonts w:ascii="Century Schoolbook" w:hAnsi="Century Schoolbook" w:cs="Times New Roman"/>
        </w:rPr>
        <w:t xml:space="preserve">release of information </w:t>
      </w:r>
      <w:r w:rsidR="007B54A5">
        <w:rPr>
          <w:rFonts w:ascii="Century Schoolbook" w:hAnsi="Century Schoolbook" w:cs="Times New Roman"/>
        </w:rPr>
        <w:t>with</w:t>
      </w:r>
      <w:r w:rsidR="00B1511D">
        <w:rPr>
          <w:rFonts w:ascii="Century Schoolbook" w:hAnsi="Century Schoolbook" w:cs="Times New Roman"/>
        </w:rPr>
        <w:t xml:space="preserve"> laws like </w:t>
      </w:r>
      <w:r w:rsidR="00641429" w:rsidRPr="00E56B4D">
        <w:rPr>
          <w:rFonts w:ascii="Century Schoolbook" w:hAnsi="Century Schoolbook" w:cs="Times New Roman"/>
        </w:rPr>
        <w:t xml:space="preserve">Megan’s Law </w:t>
      </w:r>
      <w:r w:rsidR="00B1511D">
        <w:rPr>
          <w:rFonts w:ascii="Century Schoolbook" w:hAnsi="Century Schoolbook" w:cs="Times New Roman"/>
        </w:rPr>
        <w:t>under the need for public knowledge</w:t>
      </w:r>
      <w:r>
        <w:rPr>
          <w:rFonts w:ascii="Century Schoolbook" w:hAnsi="Century Schoolbook" w:cs="Times New Roman"/>
        </w:rPr>
        <w:t xml:space="preserve"> and the </w:t>
      </w:r>
      <w:proofErr w:type="spellStart"/>
      <w:r w:rsidR="00246597" w:rsidRPr="00E56B4D">
        <w:rPr>
          <w:rFonts w:ascii="Century Schoolbook" w:hAnsi="Century Schoolbook" w:cs="Times New Roman"/>
        </w:rPr>
        <w:t>McCleskey</w:t>
      </w:r>
      <w:proofErr w:type="spellEnd"/>
      <w:r w:rsidR="00246597" w:rsidRPr="00E56B4D">
        <w:rPr>
          <w:rFonts w:ascii="Century Schoolbook" w:hAnsi="Century Schoolbook" w:cs="Times New Roman"/>
        </w:rPr>
        <w:t xml:space="preserve"> opinion.  </w:t>
      </w:r>
      <w:r w:rsidR="00641429" w:rsidRPr="00E56B4D">
        <w:rPr>
          <w:rFonts w:ascii="Century Schoolbook" w:hAnsi="Century Schoolbook" w:cs="Times New Roman"/>
        </w:rPr>
        <w:t xml:space="preserve">This </w:t>
      </w:r>
      <w:r w:rsidR="006F07A6">
        <w:rPr>
          <w:rFonts w:ascii="Century Schoolbook" w:hAnsi="Century Schoolbook" w:cs="Times New Roman"/>
        </w:rPr>
        <w:t>seemingly d</w:t>
      </w:r>
      <w:r w:rsidR="00063D3F" w:rsidRPr="00E56B4D">
        <w:rPr>
          <w:rFonts w:ascii="Century Schoolbook" w:hAnsi="Century Schoolbook" w:cs="Times New Roman"/>
        </w:rPr>
        <w:t xml:space="preserve">ouble standard that individual information can be released under the justification </w:t>
      </w:r>
      <w:r w:rsidR="004A527B">
        <w:rPr>
          <w:rFonts w:ascii="Century Schoolbook" w:hAnsi="Century Schoolbook" w:cs="Times New Roman"/>
        </w:rPr>
        <w:t xml:space="preserve">of public knowledge </w:t>
      </w:r>
      <w:r w:rsidR="00063D3F" w:rsidRPr="00E56B4D">
        <w:rPr>
          <w:rFonts w:ascii="Century Schoolbook" w:hAnsi="Century Schoolbook" w:cs="Times New Roman"/>
        </w:rPr>
        <w:t xml:space="preserve">but </w:t>
      </w:r>
      <w:r w:rsidR="004A527B">
        <w:rPr>
          <w:rFonts w:ascii="Century Schoolbook" w:hAnsi="Century Schoolbook" w:cs="Times New Roman"/>
        </w:rPr>
        <w:t xml:space="preserve">data that actually exposes what </w:t>
      </w:r>
      <w:r w:rsidR="00B1511D">
        <w:rPr>
          <w:rFonts w:ascii="Century Schoolbook" w:hAnsi="Century Schoolbook" w:cs="Times New Roman"/>
        </w:rPr>
        <w:t xml:space="preserve">the </w:t>
      </w:r>
      <w:r w:rsidR="006F07A6">
        <w:rPr>
          <w:rFonts w:ascii="Century Schoolbook" w:hAnsi="Century Schoolbook" w:cs="Times New Roman"/>
        </w:rPr>
        <w:t xml:space="preserve">Court </w:t>
      </w:r>
      <w:r w:rsidR="00B1511D">
        <w:rPr>
          <w:rFonts w:ascii="Century Schoolbook" w:hAnsi="Century Schoolbook" w:cs="Times New Roman"/>
        </w:rPr>
        <w:t>is doing</w:t>
      </w:r>
      <w:r w:rsidR="004A527B">
        <w:rPr>
          <w:rFonts w:ascii="Century Schoolbook" w:hAnsi="Century Schoolbook" w:cs="Times New Roman"/>
        </w:rPr>
        <w:t xml:space="preserve"> remains</w:t>
      </w:r>
      <w:r>
        <w:rPr>
          <w:rFonts w:ascii="Century Schoolbook" w:hAnsi="Century Schoolbook" w:cs="Times New Roman"/>
        </w:rPr>
        <w:t xml:space="preserve"> closed due to privacy concerns highlights the problem that the fear of protecting privacy is harming both privacy and transparency.</w:t>
      </w:r>
    </w:p>
    <w:p w:rsidR="00641429" w:rsidRPr="00E56B4D" w:rsidRDefault="00B1511D" w:rsidP="007D17DC">
      <w:pPr>
        <w:pStyle w:val="Text"/>
        <w:spacing w:before="100" w:beforeAutospacing="1" w:after="240"/>
        <w:jc w:val="both"/>
        <w:rPr>
          <w:rFonts w:ascii="Century Schoolbook" w:hAnsi="Century Schoolbook" w:cs="Times New Roman"/>
        </w:rPr>
      </w:pPr>
      <w:r>
        <w:rPr>
          <w:rFonts w:ascii="Century Schoolbook" w:hAnsi="Century Schoolbook" w:cs="Times New Roman"/>
        </w:rPr>
        <w:t xml:space="preserve">Furthermore, </w:t>
      </w:r>
      <w:r w:rsidR="007D17DC">
        <w:rPr>
          <w:rFonts w:ascii="Century Schoolbook" w:hAnsi="Century Schoolbook" w:cs="Times New Roman"/>
        </w:rPr>
        <w:t xml:space="preserve">privacy </w:t>
      </w:r>
      <w:r w:rsidR="00B66BA6">
        <w:rPr>
          <w:rFonts w:ascii="Century Schoolbook" w:hAnsi="Century Schoolbook" w:cs="Times New Roman"/>
        </w:rPr>
        <w:t>is being eroded as private entities are recreating or extracting the data</w:t>
      </w:r>
      <w:r w:rsidR="00641429" w:rsidRPr="00E56B4D">
        <w:rPr>
          <w:rFonts w:ascii="Century Schoolbook" w:hAnsi="Century Schoolbook" w:cs="Times New Roman"/>
        </w:rPr>
        <w:t xml:space="preserve">.  </w:t>
      </w:r>
      <w:r w:rsidR="00BD7187">
        <w:rPr>
          <w:rFonts w:ascii="Century Schoolbook" w:hAnsi="Century Schoolbook" w:cs="Times New Roman"/>
        </w:rPr>
        <w:t>I</w:t>
      </w:r>
      <w:r>
        <w:rPr>
          <w:rFonts w:ascii="Century Schoolbook" w:hAnsi="Century Schoolbook" w:cs="Times New Roman"/>
        </w:rPr>
        <w:t>f t</w:t>
      </w:r>
      <w:r w:rsidR="00246597" w:rsidRPr="00E56B4D">
        <w:rPr>
          <w:rFonts w:ascii="Century Schoolbook" w:hAnsi="Century Schoolbook" w:cs="Times New Roman"/>
        </w:rPr>
        <w:t>he courts</w:t>
      </w:r>
      <w:r>
        <w:rPr>
          <w:rFonts w:ascii="Century Schoolbook" w:hAnsi="Century Schoolbook" w:cs="Times New Roman"/>
        </w:rPr>
        <w:t xml:space="preserve"> took a more public access approach, the</w:t>
      </w:r>
      <w:r w:rsidR="0015713C">
        <w:rPr>
          <w:rFonts w:ascii="Century Schoolbook" w:hAnsi="Century Schoolbook" w:cs="Times New Roman"/>
        </w:rPr>
        <w:t>y</w:t>
      </w:r>
      <w:r>
        <w:rPr>
          <w:rFonts w:ascii="Century Schoolbook" w:hAnsi="Century Schoolbook" w:cs="Times New Roman"/>
        </w:rPr>
        <w:t xml:space="preserve"> could assert more control</w:t>
      </w:r>
      <w:r w:rsidR="00246597" w:rsidRPr="00E56B4D">
        <w:rPr>
          <w:rFonts w:ascii="Century Schoolbook" w:hAnsi="Century Schoolbook" w:cs="Times New Roman"/>
        </w:rPr>
        <w:t xml:space="preserve"> b</w:t>
      </w:r>
      <w:r w:rsidR="00641429" w:rsidRPr="00E56B4D">
        <w:rPr>
          <w:rFonts w:ascii="Century Schoolbook" w:hAnsi="Century Schoolbook" w:cs="Times New Roman"/>
        </w:rPr>
        <w:t>y allow</w:t>
      </w:r>
      <w:r w:rsidR="0015713C">
        <w:rPr>
          <w:rFonts w:ascii="Century Schoolbook" w:hAnsi="Century Schoolbook" w:cs="Times New Roman"/>
        </w:rPr>
        <w:t>ing for</w:t>
      </w:r>
      <w:r w:rsidR="00641429" w:rsidRPr="00E56B4D">
        <w:rPr>
          <w:rFonts w:ascii="Century Schoolbook" w:hAnsi="Century Schoolbook" w:cs="Times New Roman"/>
        </w:rPr>
        <w:t xml:space="preserve"> adequate controls to prevent disclosure of personal information</w:t>
      </w:r>
      <w:r w:rsidR="00B66BA6">
        <w:rPr>
          <w:rFonts w:ascii="Century Schoolbook" w:hAnsi="Century Schoolbook" w:cs="Times New Roman"/>
        </w:rPr>
        <w:t>.</w:t>
      </w:r>
      <w:r w:rsidR="005E6D0B">
        <w:rPr>
          <w:rFonts w:ascii="Century Schoolbook" w:hAnsi="Century Schoolbook" w:cs="Times New Roman"/>
        </w:rPr>
        <w:t xml:space="preserve"> </w:t>
      </w:r>
      <w:r w:rsidR="0015713C">
        <w:rPr>
          <w:rFonts w:ascii="Century Schoolbook" w:hAnsi="Century Schoolbook" w:cs="Times New Roman"/>
        </w:rPr>
        <w:t xml:space="preserve"> </w:t>
      </w:r>
      <w:r w:rsidR="005E6D0B">
        <w:rPr>
          <w:rFonts w:ascii="Century Schoolbook" w:hAnsi="Century Schoolbook" w:cs="Times New Roman"/>
        </w:rPr>
        <w:t>O</w:t>
      </w:r>
      <w:r w:rsidR="0015713C">
        <w:rPr>
          <w:rFonts w:ascii="Century Schoolbook" w:hAnsi="Century Schoolbook" w:cs="Times New Roman"/>
        </w:rPr>
        <w:t xml:space="preserve">rganizations </w:t>
      </w:r>
      <w:r w:rsidR="007D17DC">
        <w:rPr>
          <w:rFonts w:ascii="Century Schoolbook" w:hAnsi="Century Schoolbook" w:cs="Times New Roman"/>
        </w:rPr>
        <w:t xml:space="preserve">that spend resources to mimic judicial data </w:t>
      </w:r>
      <w:r w:rsidR="0015713C">
        <w:rPr>
          <w:rFonts w:ascii="Century Schoolbook" w:hAnsi="Century Schoolbook" w:cs="Times New Roman"/>
        </w:rPr>
        <w:t xml:space="preserve">would have to compete with </w:t>
      </w:r>
      <w:r w:rsidR="004A527B">
        <w:rPr>
          <w:rFonts w:ascii="Century Schoolbook" w:hAnsi="Century Schoolbook" w:cs="Times New Roman"/>
        </w:rPr>
        <w:t xml:space="preserve">organizations </w:t>
      </w:r>
      <w:r w:rsidR="007D17DC">
        <w:rPr>
          <w:rFonts w:ascii="Century Schoolbook" w:hAnsi="Century Schoolbook" w:cs="Times New Roman"/>
        </w:rPr>
        <w:t xml:space="preserve">gaining access to the </w:t>
      </w:r>
      <w:r w:rsidR="0015713C">
        <w:rPr>
          <w:rFonts w:ascii="Century Schoolbook" w:hAnsi="Century Schoolbook" w:cs="Times New Roman"/>
        </w:rPr>
        <w:t>data</w:t>
      </w:r>
      <w:r w:rsidR="007D17DC">
        <w:rPr>
          <w:rFonts w:ascii="Century Schoolbook" w:hAnsi="Century Schoolbook" w:cs="Times New Roman"/>
        </w:rPr>
        <w:t xml:space="preserve"> by following the rules</w:t>
      </w:r>
      <w:r w:rsidR="0015713C">
        <w:rPr>
          <w:rFonts w:ascii="Century Schoolbook" w:hAnsi="Century Schoolbook" w:cs="Times New Roman"/>
        </w:rPr>
        <w:t>.</w:t>
      </w:r>
      <w:r w:rsidR="00641429" w:rsidRPr="00E56B4D">
        <w:rPr>
          <w:rFonts w:ascii="Century Schoolbook" w:hAnsi="Century Schoolbook" w:cs="Times New Roman"/>
        </w:rPr>
        <w:t xml:space="preserve"> </w:t>
      </w:r>
      <w:r w:rsidR="007D17DC">
        <w:rPr>
          <w:rFonts w:ascii="Century Schoolbook" w:hAnsi="Century Schoolbook" w:cs="Times New Roman"/>
        </w:rPr>
        <w:t xml:space="preserve"> Accepting and allowing for more transparency </w:t>
      </w:r>
      <w:r w:rsidR="00AB5FAD">
        <w:rPr>
          <w:rFonts w:ascii="Century Schoolbook" w:hAnsi="Century Schoolbook" w:cs="Times New Roman"/>
        </w:rPr>
        <w:t xml:space="preserve">will allow the courts and government </w:t>
      </w:r>
      <w:r w:rsidR="005E5039">
        <w:rPr>
          <w:rFonts w:ascii="Century Schoolbook" w:hAnsi="Century Schoolbook" w:cs="Times New Roman"/>
        </w:rPr>
        <w:t>to create controls and</w:t>
      </w:r>
      <w:r w:rsidR="00AB5FAD">
        <w:rPr>
          <w:rFonts w:ascii="Century Schoolbook" w:hAnsi="Century Schoolbook" w:cs="Times New Roman"/>
        </w:rPr>
        <w:t xml:space="preserve"> find</w:t>
      </w:r>
      <w:r w:rsidR="00C36F4E">
        <w:rPr>
          <w:rFonts w:ascii="Century Schoolbook" w:hAnsi="Century Schoolbook" w:cs="Times New Roman"/>
        </w:rPr>
        <w:t xml:space="preserve"> solutions help prevent loss of privacy</w:t>
      </w:r>
      <w:r w:rsidR="00F85377">
        <w:rPr>
          <w:rFonts w:ascii="Century Schoolbook" w:hAnsi="Century Schoolbook" w:cs="Times New Roman"/>
        </w:rPr>
        <w:t>.</w:t>
      </w:r>
    </w:p>
    <w:p w:rsidR="00641429" w:rsidRPr="00E56B4D" w:rsidRDefault="009F0ED5" w:rsidP="0002068B">
      <w:pPr>
        <w:pStyle w:val="Heading"/>
        <w:spacing w:before="360" w:beforeAutospacing="1" w:after="240" w:line="480" w:lineRule="auto"/>
        <w:jc w:val="both"/>
        <w:rPr>
          <w:rFonts w:cs="Times New Roman"/>
        </w:rPr>
      </w:pPr>
      <w:bookmarkStart w:id="7" w:name="_Toc362462017"/>
      <w:r w:rsidRPr="00E56B4D">
        <w:rPr>
          <w:rFonts w:cs="Times New Roman"/>
        </w:rPr>
        <w:lastRenderedPageBreak/>
        <w:t xml:space="preserve">IV. </w:t>
      </w:r>
      <w:r w:rsidR="00B66BA6">
        <w:rPr>
          <w:rFonts w:cs="Times New Roman"/>
        </w:rPr>
        <w:t xml:space="preserve">THE </w:t>
      </w:r>
      <w:r w:rsidR="007D17DC">
        <w:rPr>
          <w:rFonts w:cs="Times New Roman"/>
        </w:rPr>
        <w:t>CONTROLS</w:t>
      </w:r>
      <w:bookmarkEnd w:id="7"/>
    </w:p>
    <w:p w:rsidR="00AF7BC6" w:rsidRPr="00E56B4D" w:rsidRDefault="007D17DC"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t xml:space="preserve">The government and courts </w:t>
      </w:r>
      <w:r w:rsidR="008F56AF">
        <w:rPr>
          <w:rFonts w:ascii="Century Schoolbook" w:hAnsi="Century Schoolbook" w:cs="Times New Roman"/>
        </w:rPr>
        <w:t xml:space="preserve">can </w:t>
      </w:r>
      <w:r>
        <w:rPr>
          <w:rFonts w:ascii="Century Schoolbook" w:hAnsi="Century Schoolbook" w:cs="Times New Roman"/>
        </w:rPr>
        <w:t xml:space="preserve">use </w:t>
      </w:r>
      <w:r w:rsidR="00F85377">
        <w:rPr>
          <w:rFonts w:ascii="Century Schoolbook" w:hAnsi="Century Schoolbook" w:cs="Times New Roman"/>
        </w:rPr>
        <w:t>technological and organizational</w:t>
      </w:r>
      <w:r w:rsidR="008F56AF">
        <w:rPr>
          <w:rFonts w:ascii="Century Schoolbook" w:hAnsi="Century Schoolbook" w:cs="Times New Roman"/>
        </w:rPr>
        <w:t xml:space="preserve"> solutions </w:t>
      </w:r>
      <w:r>
        <w:rPr>
          <w:rFonts w:ascii="Century Schoolbook" w:hAnsi="Century Schoolbook" w:cs="Times New Roman"/>
        </w:rPr>
        <w:t>allowing</w:t>
      </w:r>
      <w:r w:rsidR="00641429" w:rsidRPr="00E56B4D">
        <w:rPr>
          <w:rFonts w:ascii="Century Schoolbook" w:hAnsi="Century Schoolbook" w:cs="Times New Roman"/>
        </w:rPr>
        <w:t xml:space="preserve"> for </w:t>
      </w:r>
      <w:r w:rsidR="008F56AF">
        <w:rPr>
          <w:rFonts w:ascii="Century Schoolbook" w:hAnsi="Century Schoolbook" w:cs="Times New Roman"/>
        </w:rPr>
        <w:t xml:space="preserve">transparency and </w:t>
      </w:r>
      <w:r>
        <w:rPr>
          <w:rFonts w:ascii="Century Schoolbook" w:hAnsi="Century Schoolbook" w:cs="Times New Roman"/>
        </w:rPr>
        <w:t>mitigating privacy concerns</w:t>
      </w:r>
      <w:r w:rsidR="00F85377">
        <w:rPr>
          <w:rFonts w:ascii="Century Schoolbook" w:hAnsi="Century Schoolbook" w:cs="Times New Roman"/>
        </w:rPr>
        <w:t>.</w:t>
      </w:r>
    </w:p>
    <w:p w:rsidR="00AF7BC6" w:rsidRPr="00E56B4D" w:rsidRDefault="00AF7BC6" w:rsidP="0002068B">
      <w:pPr>
        <w:pStyle w:val="Heading1"/>
        <w:numPr>
          <w:ilvl w:val="0"/>
          <w:numId w:val="3"/>
        </w:numPr>
        <w:spacing w:before="100" w:beforeAutospacing="1" w:after="240" w:line="480" w:lineRule="auto"/>
        <w:rPr>
          <w:rFonts w:ascii="Century Schoolbook" w:hAnsi="Century Schoolbook" w:cs="Times New Roman"/>
        </w:rPr>
      </w:pPr>
      <w:bookmarkStart w:id="8" w:name="_Toc362462018"/>
      <w:r w:rsidRPr="00E56B4D">
        <w:rPr>
          <w:rFonts w:ascii="Century Schoolbook" w:hAnsi="Century Schoolbook" w:cs="Times New Roman"/>
        </w:rPr>
        <w:t>Technological</w:t>
      </w:r>
      <w:r w:rsidR="008F56AF">
        <w:rPr>
          <w:rFonts w:ascii="Century Schoolbook" w:hAnsi="Century Schoolbook" w:cs="Times New Roman"/>
        </w:rPr>
        <w:t xml:space="preserve"> Solutions</w:t>
      </w:r>
      <w:bookmarkEnd w:id="8"/>
    </w:p>
    <w:p w:rsidR="00B66BA6" w:rsidRDefault="00641429" w:rsidP="00F85377">
      <w:pPr>
        <w:pStyle w:val="Text"/>
        <w:spacing w:before="100" w:beforeAutospacing="1" w:after="240"/>
        <w:jc w:val="both"/>
        <w:rPr>
          <w:rFonts w:ascii="Century Schoolbook" w:hAnsi="Century Schoolbook" w:cs="Times New Roman"/>
        </w:rPr>
      </w:pPr>
      <w:r w:rsidRPr="00E56B4D">
        <w:rPr>
          <w:rFonts w:ascii="Century Schoolbook" w:hAnsi="Century Schoolbook" w:cs="Times New Roman"/>
        </w:rPr>
        <w:t>One way out of the dilemma is to allow restricted access using technology.</w:t>
      </w:r>
      <w:r w:rsidRPr="00E56B4D">
        <w:rPr>
          <w:rStyle w:val="EndnoteReference"/>
          <w:rFonts w:ascii="Century Schoolbook" w:hAnsi="Century Schoolbook" w:cs="Times New Roman"/>
        </w:rPr>
        <w:endnoteReference w:id="93"/>
      </w:r>
      <w:r w:rsidR="00631EC5">
        <w:rPr>
          <w:rFonts w:ascii="Century Schoolbook" w:hAnsi="Century Schoolbook" w:cs="Times New Roman"/>
        </w:rPr>
        <w:t xml:space="preserve">  </w:t>
      </w:r>
      <w:r w:rsidR="00D51AAD">
        <w:rPr>
          <w:rFonts w:ascii="Century Schoolbook" w:hAnsi="Century Schoolbook" w:cs="Times New Roman"/>
        </w:rPr>
        <w:t>T</w:t>
      </w:r>
      <w:r w:rsidRPr="00E56B4D">
        <w:rPr>
          <w:rFonts w:ascii="Century Schoolbook" w:hAnsi="Century Schoolbook" w:cs="Times New Roman"/>
        </w:rPr>
        <w:t xml:space="preserve">he Global Justice XML Data Model being developed by the United States Department of Justice (DOJ) and the </w:t>
      </w:r>
      <w:proofErr w:type="spellStart"/>
      <w:r w:rsidRPr="00E56B4D">
        <w:rPr>
          <w:rFonts w:ascii="Century Schoolbook" w:hAnsi="Century Schoolbook" w:cs="Times New Roman"/>
        </w:rPr>
        <w:t>LegalXML</w:t>
      </w:r>
      <w:proofErr w:type="spellEnd"/>
      <w:r w:rsidRPr="00E56B4D">
        <w:rPr>
          <w:rFonts w:ascii="Century Schoolbook" w:hAnsi="Century Schoolbook" w:cs="Times New Roman"/>
        </w:rPr>
        <w:t xml:space="preserve"> project of the Organization for the Advancement of Structured Information Standards (OASIS)</w:t>
      </w:r>
      <w:r w:rsidR="00D51AAD">
        <w:rPr>
          <w:rFonts w:ascii="Century Schoolbook" w:hAnsi="Century Schoolbook" w:cs="Times New Roman"/>
        </w:rPr>
        <w:t>,</w:t>
      </w:r>
      <w:r w:rsidRPr="00E56B4D">
        <w:rPr>
          <w:rStyle w:val="EndnoteReference"/>
          <w:rFonts w:ascii="Century Schoolbook" w:hAnsi="Century Schoolbook" w:cs="Times New Roman"/>
        </w:rPr>
        <w:endnoteReference w:id="94"/>
      </w:r>
      <w:r w:rsidRPr="00E56B4D">
        <w:rPr>
          <w:rFonts w:ascii="Century Schoolbook" w:hAnsi="Century Schoolbook" w:cs="Times New Roman"/>
        </w:rPr>
        <w:t xml:space="preserve"> </w:t>
      </w:r>
      <w:r w:rsidR="00F85377">
        <w:rPr>
          <w:rFonts w:ascii="Century Schoolbook" w:hAnsi="Century Schoolbook" w:cs="Times New Roman"/>
        </w:rPr>
        <w:t xml:space="preserve">rely on </w:t>
      </w:r>
      <w:r w:rsidRPr="00E56B4D">
        <w:rPr>
          <w:rFonts w:ascii="Century Schoolbook" w:hAnsi="Century Schoolbook" w:cs="Times New Roman"/>
        </w:rPr>
        <w:t xml:space="preserve">XML to integrate </w:t>
      </w:r>
      <w:r w:rsidR="009D175B" w:rsidRPr="00E56B4D">
        <w:rPr>
          <w:rFonts w:ascii="Century Schoolbook" w:hAnsi="Century Schoolbook" w:cs="Times New Roman"/>
        </w:rPr>
        <w:t>the data across several governmental and judicial databases allowing interoperability and data exchange</w:t>
      </w:r>
      <w:r w:rsidR="00F85377">
        <w:rPr>
          <w:rFonts w:ascii="Century Schoolbook" w:hAnsi="Century Schoolbook" w:cs="Times New Roman"/>
        </w:rPr>
        <w:t xml:space="preserve"> yet providing </w:t>
      </w:r>
      <w:r w:rsidR="007D17DC">
        <w:rPr>
          <w:rFonts w:ascii="Century Schoolbook" w:hAnsi="Century Schoolbook" w:cs="Times New Roman"/>
        </w:rPr>
        <w:t xml:space="preserve">leveled </w:t>
      </w:r>
      <w:r w:rsidR="00F85377">
        <w:rPr>
          <w:rFonts w:ascii="Century Schoolbook" w:hAnsi="Century Schoolbook" w:cs="Times New Roman"/>
        </w:rPr>
        <w:t>access control of data</w:t>
      </w:r>
      <w:r w:rsidRPr="00E56B4D">
        <w:rPr>
          <w:rFonts w:ascii="Century Schoolbook" w:hAnsi="Century Schoolbook" w:cs="Times New Roman"/>
        </w:rPr>
        <w:t>.</w:t>
      </w:r>
      <w:r w:rsidRPr="00E56B4D">
        <w:rPr>
          <w:rStyle w:val="EndnoteReference"/>
          <w:rFonts w:ascii="Century Schoolbook" w:hAnsi="Century Schoolbook" w:cs="Times New Roman"/>
        </w:rPr>
        <w:endnoteReference w:id="95"/>
      </w:r>
      <w:r w:rsidRPr="00E56B4D">
        <w:rPr>
          <w:rFonts w:ascii="Century Schoolbook" w:hAnsi="Century Schoolbook" w:cs="Times New Roman"/>
        </w:rPr>
        <w:t xml:space="preserve">  </w:t>
      </w:r>
      <w:r w:rsidR="00522FFE" w:rsidRPr="00E56B4D">
        <w:rPr>
          <w:rFonts w:ascii="Century Schoolbook" w:hAnsi="Century Schoolbook" w:cs="Times New Roman"/>
        </w:rPr>
        <w:t>Extensible Markup Language, or "XML," transmits both data and the meaning of the data by assigning data "tags" to define both the name of a data element and the format of the data within that element.</w:t>
      </w:r>
      <w:r w:rsidR="00522FFE" w:rsidRPr="00E56B4D">
        <w:rPr>
          <w:rStyle w:val="EndnoteReference"/>
          <w:rFonts w:ascii="Century Schoolbook" w:hAnsi="Century Schoolbook" w:cs="Times New Roman"/>
        </w:rPr>
        <w:endnoteReference w:id="96"/>
      </w:r>
      <w:r w:rsidR="00522FFE" w:rsidRPr="00E56B4D">
        <w:rPr>
          <w:rFonts w:ascii="Century Schoolbook" w:hAnsi="Century Schoolbook" w:cs="Times New Roman"/>
        </w:rPr>
        <w:t xml:space="preserve">  </w:t>
      </w:r>
      <w:r w:rsidR="00F85377">
        <w:rPr>
          <w:rFonts w:ascii="Century Schoolbook" w:hAnsi="Century Schoolbook" w:cs="Times New Roman"/>
        </w:rPr>
        <w:t xml:space="preserve">The tags can </w:t>
      </w:r>
      <w:r w:rsidR="00AB5FAD">
        <w:rPr>
          <w:rFonts w:ascii="Century Schoolbook" w:hAnsi="Century Schoolbook" w:cs="Times New Roman"/>
        </w:rPr>
        <w:t>be formatted to identify</w:t>
      </w:r>
      <w:r w:rsidR="00522FFE" w:rsidRPr="00E56B4D">
        <w:rPr>
          <w:rFonts w:ascii="Century Schoolbook" w:hAnsi="Century Schoolbook" w:cs="Times New Roman"/>
        </w:rPr>
        <w:t xml:space="preserve"> </w:t>
      </w:r>
      <w:r w:rsidR="00D51AAD">
        <w:rPr>
          <w:rFonts w:ascii="Century Schoolbook" w:hAnsi="Century Schoolbook" w:cs="Times New Roman"/>
        </w:rPr>
        <w:t xml:space="preserve">the different </w:t>
      </w:r>
      <w:r w:rsidR="00522FFE" w:rsidRPr="00E56B4D">
        <w:rPr>
          <w:rFonts w:ascii="Century Schoolbook" w:hAnsi="Century Schoolbook" w:cs="Times New Roman"/>
        </w:rPr>
        <w:t xml:space="preserve">levels of access. </w:t>
      </w:r>
      <w:r w:rsidR="00C36F4E">
        <w:rPr>
          <w:rFonts w:ascii="Century Schoolbook" w:hAnsi="Century Schoolbook" w:cs="Times New Roman"/>
        </w:rPr>
        <w:t xml:space="preserve"> </w:t>
      </w:r>
      <w:r w:rsidR="00F85377">
        <w:rPr>
          <w:rFonts w:ascii="Century Schoolbook" w:hAnsi="Century Schoolbook" w:cs="Times New Roman"/>
        </w:rPr>
        <w:t xml:space="preserve">This would allow for </w:t>
      </w:r>
      <w:r w:rsidR="00522FFE" w:rsidRPr="00E56B4D">
        <w:rPr>
          <w:rFonts w:ascii="Century Schoolbook" w:hAnsi="Century Schoolbook" w:cs="Times New Roman"/>
        </w:rPr>
        <w:t xml:space="preserve">a </w:t>
      </w:r>
      <w:r w:rsidR="00F85377">
        <w:rPr>
          <w:rFonts w:ascii="Century Schoolbook" w:hAnsi="Century Schoolbook" w:cs="Times New Roman"/>
        </w:rPr>
        <w:t xml:space="preserve">connection to </w:t>
      </w:r>
      <w:r w:rsidR="00D51AAD">
        <w:rPr>
          <w:rFonts w:ascii="Century Schoolbook" w:hAnsi="Century Schoolbook" w:cs="Times New Roman"/>
        </w:rPr>
        <w:t xml:space="preserve">a large </w:t>
      </w:r>
      <w:r w:rsidR="00F85377">
        <w:rPr>
          <w:rFonts w:ascii="Century Schoolbook" w:hAnsi="Century Schoolbook" w:cs="Times New Roman"/>
        </w:rPr>
        <w:t>database by a diverse number of platforms</w:t>
      </w:r>
      <w:r w:rsidR="007D17DC">
        <w:rPr>
          <w:rFonts w:ascii="Century Schoolbook" w:hAnsi="Century Schoolbook" w:cs="Times New Roman"/>
        </w:rPr>
        <w:t xml:space="preserve"> and entities</w:t>
      </w:r>
      <w:r w:rsidR="00F85377">
        <w:rPr>
          <w:rFonts w:ascii="Century Schoolbook" w:hAnsi="Century Schoolbook" w:cs="Times New Roman"/>
        </w:rPr>
        <w:t xml:space="preserve"> while controlling the individual data </w:t>
      </w:r>
      <w:r w:rsidR="00D51AAD">
        <w:rPr>
          <w:rFonts w:ascii="Century Schoolbook" w:hAnsi="Century Schoolbook" w:cs="Times New Roman"/>
        </w:rPr>
        <w:t>at specific levels of access</w:t>
      </w:r>
      <w:r w:rsidRPr="00E56B4D">
        <w:rPr>
          <w:rFonts w:ascii="Century Schoolbook" w:hAnsi="Century Schoolbook" w:cs="Times New Roman"/>
        </w:rPr>
        <w:t>.</w:t>
      </w:r>
      <w:r w:rsidRPr="00E56B4D">
        <w:rPr>
          <w:rStyle w:val="EndnoteReference"/>
          <w:rFonts w:ascii="Century Schoolbook" w:hAnsi="Century Schoolbook" w:cs="Times New Roman"/>
        </w:rPr>
        <w:endnoteReference w:id="97"/>
      </w:r>
      <w:r w:rsidRPr="00E56B4D">
        <w:rPr>
          <w:rFonts w:ascii="Century Schoolbook" w:hAnsi="Century Schoolbook" w:cs="Times New Roman"/>
        </w:rPr>
        <w:t xml:space="preserve">  </w:t>
      </w:r>
    </w:p>
    <w:p w:rsidR="00641429" w:rsidRPr="00E56B4D" w:rsidRDefault="00B66BA6" w:rsidP="00F85377">
      <w:pPr>
        <w:pStyle w:val="Text"/>
        <w:spacing w:before="100" w:beforeAutospacing="1" w:after="240"/>
        <w:jc w:val="both"/>
        <w:rPr>
          <w:rFonts w:ascii="Century Schoolbook" w:hAnsi="Century Schoolbook" w:cs="Times New Roman"/>
        </w:rPr>
      </w:pPr>
      <w:r>
        <w:rPr>
          <w:rFonts w:ascii="Century Schoolbook" w:hAnsi="Century Schoolbook" w:cs="Times New Roman"/>
        </w:rPr>
        <w:t>An example of the problem of access comes from t</w:t>
      </w:r>
      <w:r w:rsidR="00641429" w:rsidRPr="00E56B4D">
        <w:rPr>
          <w:rFonts w:ascii="Century Schoolbook" w:hAnsi="Century Schoolbook" w:cs="Times New Roman"/>
        </w:rPr>
        <w:t>he Conference of Chief Justices (CCJ) and the Conference of State Court Administrators (COSCA)</w:t>
      </w:r>
      <w:r>
        <w:rPr>
          <w:rFonts w:ascii="Century Schoolbook" w:hAnsi="Century Schoolbook" w:cs="Times New Roman"/>
        </w:rPr>
        <w:t>, which</w:t>
      </w:r>
      <w:r w:rsidR="00641429" w:rsidRPr="00E56B4D">
        <w:rPr>
          <w:rFonts w:ascii="Century Schoolbook" w:hAnsi="Century Schoolbook" w:cs="Times New Roman"/>
        </w:rPr>
        <w:t xml:space="preserve"> have published a set of model guidelines for granting public access to court records.</w:t>
      </w:r>
      <w:r w:rsidR="00641429" w:rsidRPr="00E56B4D">
        <w:rPr>
          <w:rStyle w:val="EndnoteReference"/>
          <w:rFonts w:ascii="Century Schoolbook" w:hAnsi="Century Schoolbook" w:cs="Times New Roman"/>
        </w:rPr>
        <w:endnoteReference w:id="98"/>
      </w:r>
      <w:r w:rsidR="00641429" w:rsidRPr="00E56B4D">
        <w:rPr>
          <w:rFonts w:ascii="Century Schoolbook" w:hAnsi="Century Schoolbook" w:cs="Times New Roman"/>
        </w:rPr>
        <w:t xml:space="preserve">  </w:t>
      </w:r>
      <w:r>
        <w:rPr>
          <w:rFonts w:ascii="Century Schoolbook" w:hAnsi="Century Schoolbook" w:cs="Times New Roman"/>
        </w:rPr>
        <w:t>The</w:t>
      </w:r>
      <w:r w:rsidR="00641429" w:rsidRPr="00E56B4D">
        <w:rPr>
          <w:rFonts w:ascii="Century Schoolbook" w:hAnsi="Century Schoolbook" w:cs="Times New Roman"/>
        </w:rPr>
        <w:t xml:space="preserve"> guidelines </w:t>
      </w:r>
      <w:r>
        <w:rPr>
          <w:rFonts w:ascii="Century Schoolbook" w:hAnsi="Century Schoolbook" w:cs="Times New Roman"/>
        </w:rPr>
        <w:t>require the removal of a</w:t>
      </w:r>
      <w:r w:rsidR="00641429" w:rsidRPr="00E56B4D">
        <w:rPr>
          <w:rFonts w:ascii="Century Schoolbook" w:hAnsi="Century Schoolbook" w:cs="Times New Roman"/>
        </w:rPr>
        <w:t xml:space="preserve"> whole</w:t>
      </w:r>
      <w:r w:rsidR="00AB5FAD">
        <w:rPr>
          <w:rFonts w:ascii="Century Schoolbook" w:hAnsi="Century Schoolbook" w:cs="Times New Roman"/>
        </w:rPr>
        <w:t xml:space="preserve"> electronic</w:t>
      </w:r>
      <w:r w:rsidR="00641429" w:rsidRPr="00E56B4D">
        <w:rPr>
          <w:rFonts w:ascii="Century Schoolbook" w:hAnsi="Century Schoolbook" w:cs="Times New Roman"/>
        </w:rPr>
        <w:t xml:space="preserve"> document if it contains </w:t>
      </w:r>
      <w:r w:rsidR="00641429" w:rsidRPr="00E56B4D">
        <w:rPr>
          <w:rFonts w:ascii="Century Schoolbook" w:hAnsi="Century Schoolbook" w:cs="Times New Roman"/>
        </w:rPr>
        <w:lastRenderedPageBreak/>
        <w:t>private information, even though the whole document is available at the courthouse.</w:t>
      </w:r>
      <w:r w:rsidR="00641429" w:rsidRPr="00E56B4D">
        <w:rPr>
          <w:rStyle w:val="EndnoteReference"/>
          <w:rFonts w:ascii="Century Schoolbook" w:hAnsi="Century Schoolbook" w:cs="Times New Roman"/>
        </w:rPr>
        <w:endnoteReference w:id="99"/>
      </w:r>
      <w:r w:rsidR="00641429" w:rsidRPr="00E56B4D">
        <w:rPr>
          <w:rFonts w:ascii="Century Schoolbook" w:hAnsi="Century Schoolbook" w:cs="Times New Roman"/>
        </w:rPr>
        <w:t xml:space="preserve">  This creates a contradiction where the public is denied access to records it should have electronically but allowed to get private information from the courthouse that it may not </w:t>
      </w:r>
      <w:r w:rsidR="00631EC5">
        <w:rPr>
          <w:rFonts w:ascii="Century Schoolbook" w:hAnsi="Century Schoolbook" w:cs="Times New Roman"/>
        </w:rPr>
        <w:t>be allowed to have</w:t>
      </w:r>
      <w:r w:rsidR="00A1470F">
        <w:rPr>
          <w:rFonts w:ascii="Century Schoolbook" w:hAnsi="Century Schoolbook" w:cs="Times New Roman"/>
        </w:rPr>
        <w:t xml:space="preserve"> electronically</w:t>
      </w:r>
      <w:r w:rsidR="00641429" w:rsidRPr="00E56B4D">
        <w:rPr>
          <w:rFonts w:ascii="Century Schoolbook" w:hAnsi="Century Schoolbook" w:cs="Times New Roman"/>
        </w:rPr>
        <w:t xml:space="preserve">.  </w:t>
      </w:r>
      <w:r w:rsidR="007D17DC">
        <w:rPr>
          <w:rFonts w:ascii="Century Schoolbook" w:hAnsi="Century Schoolbook" w:cs="Times New Roman"/>
        </w:rPr>
        <w:t xml:space="preserve">XML </w:t>
      </w:r>
      <w:r w:rsidR="00F85377" w:rsidRPr="00E56B4D">
        <w:rPr>
          <w:rFonts w:ascii="Century Schoolbook" w:hAnsi="Century Schoolbook" w:cs="Times New Roman"/>
        </w:rPr>
        <w:t>reference tags could be written into PDFs or Word documents</w:t>
      </w:r>
      <w:r w:rsidR="00440FC3">
        <w:rPr>
          <w:rFonts w:ascii="Century Schoolbook" w:hAnsi="Century Schoolbook" w:cs="Times New Roman"/>
        </w:rPr>
        <w:t xml:space="preserve"> </w:t>
      </w:r>
      <w:r w:rsidR="00645081">
        <w:rPr>
          <w:rFonts w:ascii="Century Schoolbook" w:hAnsi="Century Schoolbook" w:cs="Times New Roman"/>
        </w:rPr>
        <w:t xml:space="preserve">while </w:t>
      </w:r>
      <w:r w:rsidR="00BD7187">
        <w:rPr>
          <w:rFonts w:ascii="Century Schoolbook" w:hAnsi="Century Schoolbook" w:cs="Times New Roman"/>
        </w:rPr>
        <w:t xml:space="preserve">automatically </w:t>
      </w:r>
      <w:r w:rsidR="00440FC3">
        <w:rPr>
          <w:rFonts w:ascii="Century Schoolbook" w:hAnsi="Century Schoolbook" w:cs="Times New Roman"/>
        </w:rPr>
        <w:t>redact</w:t>
      </w:r>
      <w:r w:rsidR="00645081">
        <w:rPr>
          <w:rFonts w:ascii="Century Schoolbook" w:hAnsi="Century Schoolbook" w:cs="Times New Roman"/>
        </w:rPr>
        <w:t>ing</w:t>
      </w:r>
      <w:r w:rsidR="00440FC3">
        <w:rPr>
          <w:rFonts w:ascii="Century Schoolbook" w:hAnsi="Century Schoolbook" w:cs="Times New Roman"/>
        </w:rPr>
        <w:t xml:space="preserve"> </w:t>
      </w:r>
      <w:r w:rsidR="00645081">
        <w:rPr>
          <w:rFonts w:ascii="Century Schoolbook" w:hAnsi="Century Schoolbook" w:cs="Times New Roman"/>
        </w:rPr>
        <w:t xml:space="preserve">individual </w:t>
      </w:r>
      <w:r w:rsidR="00440FC3">
        <w:rPr>
          <w:rFonts w:ascii="Century Schoolbook" w:hAnsi="Century Schoolbook" w:cs="Times New Roman"/>
        </w:rPr>
        <w:t>private information base</w:t>
      </w:r>
      <w:r w:rsidR="00781400">
        <w:rPr>
          <w:rFonts w:ascii="Century Schoolbook" w:hAnsi="Century Schoolbook" w:cs="Times New Roman"/>
        </w:rPr>
        <w:t>d</w:t>
      </w:r>
      <w:r w:rsidR="00440FC3">
        <w:rPr>
          <w:rFonts w:ascii="Century Schoolbook" w:hAnsi="Century Schoolbook" w:cs="Times New Roman"/>
        </w:rPr>
        <w:t xml:space="preserve"> on the tags</w:t>
      </w:r>
      <w:r w:rsidR="00645081">
        <w:rPr>
          <w:rFonts w:ascii="Century Schoolbook" w:hAnsi="Century Schoolbook" w:cs="Times New Roman"/>
        </w:rPr>
        <w:t xml:space="preserve"> and guidelines</w:t>
      </w:r>
      <w:r w:rsidR="00F85377" w:rsidRPr="00E56B4D">
        <w:rPr>
          <w:rFonts w:ascii="Century Schoolbook" w:hAnsi="Century Schoolbook" w:cs="Times New Roman"/>
        </w:rPr>
        <w:t xml:space="preserve">.  </w:t>
      </w:r>
      <w:r w:rsidR="00440FC3">
        <w:rPr>
          <w:rFonts w:ascii="Century Schoolbook" w:hAnsi="Century Schoolbook" w:cs="Times New Roman"/>
        </w:rPr>
        <w:t>Furthermore, g</w:t>
      </w:r>
      <w:r w:rsidR="005E5039">
        <w:rPr>
          <w:rFonts w:ascii="Century Schoolbook" w:hAnsi="Century Schoolbook" w:cs="Times New Roman"/>
        </w:rPr>
        <w:t xml:space="preserve">overnments could </w:t>
      </w:r>
      <w:r w:rsidR="007D17DC">
        <w:rPr>
          <w:rFonts w:ascii="Century Schoolbook" w:hAnsi="Century Schoolbook" w:cs="Times New Roman"/>
        </w:rPr>
        <w:t xml:space="preserve">utilize these reference tags to control the release of public data </w:t>
      </w:r>
      <w:r w:rsidR="00440FC3">
        <w:rPr>
          <w:rFonts w:ascii="Century Schoolbook" w:hAnsi="Century Schoolbook" w:cs="Times New Roman"/>
        </w:rPr>
        <w:t xml:space="preserve">in large scale data-mining by allowing </w:t>
      </w:r>
      <w:r w:rsidR="00F85377">
        <w:rPr>
          <w:rFonts w:ascii="Century Schoolbook" w:hAnsi="Century Schoolbook" w:cs="Times New Roman"/>
        </w:rPr>
        <w:t>access</w:t>
      </w:r>
      <w:r w:rsidR="009E7C05">
        <w:rPr>
          <w:rFonts w:ascii="Century Schoolbook" w:hAnsi="Century Schoolbook" w:cs="Times New Roman"/>
        </w:rPr>
        <w:t xml:space="preserve"> </w:t>
      </w:r>
      <w:r w:rsidR="00440FC3">
        <w:rPr>
          <w:rFonts w:ascii="Century Schoolbook" w:hAnsi="Century Schoolbook" w:cs="Times New Roman"/>
        </w:rPr>
        <w:t xml:space="preserve">based on </w:t>
      </w:r>
      <w:r w:rsidR="005E5039">
        <w:rPr>
          <w:rFonts w:ascii="Century Schoolbook" w:hAnsi="Century Schoolbook" w:cs="Times New Roman"/>
        </w:rPr>
        <w:t>reference tags</w:t>
      </w:r>
      <w:r w:rsidR="00440FC3">
        <w:rPr>
          <w:rFonts w:ascii="Century Schoolbook" w:hAnsi="Century Schoolbook" w:cs="Times New Roman"/>
        </w:rPr>
        <w:t xml:space="preserve"> and </w:t>
      </w:r>
      <w:r w:rsidR="00641429" w:rsidRPr="00E56B4D">
        <w:rPr>
          <w:rFonts w:ascii="Century Schoolbook" w:hAnsi="Century Schoolbook" w:cs="Times New Roman"/>
        </w:rPr>
        <w:t>prevent</w:t>
      </w:r>
      <w:r w:rsidR="00F85377">
        <w:rPr>
          <w:rFonts w:ascii="Century Schoolbook" w:hAnsi="Century Schoolbook" w:cs="Times New Roman"/>
        </w:rPr>
        <w:t>ing</w:t>
      </w:r>
      <w:r w:rsidR="00641429" w:rsidRPr="00E56B4D">
        <w:rPr>
          <w:rFonts w:ascii="Century Schoolbook" w:hAnsi="Century Schoolbook" w:cs="Times New Roman"/>
        </w:rPr>
        <w:t xml:space="preserve"> the harmful disclosure of</w:t>
      </w:r>
      <w:r w:rsidR="007D17DC">
        <w:rPr>
          <w:rFonts w:ascii="Century Schoolbook" w:hAnsi="Century Schoolbook" w:cs="Times New Roman"/>
        </w:rPr>
        <w:t xml:space="preserve"> personal</w:t>
      </w:r>
      <w:r w:rsidR="00641429" w:rsidRPr="00E56B4D">
        <w:rPr>
          <w:rFonts w:ascii="Century Schoolbook" w:hAnsi="Century Schoolbook" w:cs="Times New Roman"/>
        </w:rPr>
        <w:t xml:space="preserve"> data.</w:t>
      </w:r>
      <w:r w:rsidR="00641429" w:rsidRPr="00E56B4D">
        <w:rPr>
          <w:rStyle w:val="EndnoteReference"/>
          <w:rFonts w:ascii="Century Schoolbook" w:hAnsi="Century Schoolbook" w:cs="Times New Roman"/>
        </w:rPr>
        <w:endnoteReference w:id="100"/>
      </w:r>
      <w:r w:rsidR="00641429" w:rsidRPr="00E56B4D">
        <w:rPr>
          <w:rFonts w:ascii="Century Schoolbook" w:hAnsi="Century Schoolbook" w:cs="Times New Roman"/>
        </w:rPr>
        <w:t xml:space="preserve">  </w:t>
      </w:r>
    </w:p>
    <w:p w:rsidR="00AF7BC6" w:rsidRPr="00E56B4D" w:rsidRDefault="00AF7BC6" w:rsidP="0002068B">
      <w:pPr>
        <w:pStyle w:val="Heading1"/>
        <w:numPr>
          <w:ilvl w:val="0"/>
          <w:numId w:val="3"/>
        </w:numPr>
        <w:spacing w:before="100" w:beforeAutospacing="1" w:after="240" w:line="480" w:lineRule="auto"/>
        <w:rPr>
          <w:rFonts w:ascii="Century Schoolbook" w:hAnsi="Century Schoolbook" w:cs="Times New Roman"/>
        </w:rPr>
      </w:pPr>
      <w:bookmarkStart w:id="9" w:name="_Toc362462019"/>
      <w:r w:rsidRPr="00E56B4D">
        <w:rPr>
          <w:rFonts w:ascii="Century Schoolbook" w:hAnsi="Century Schoolbook" w:cs="Times New Roman"/>
        </w:rPr>
        <w:t xml:space="preserve">Organizational </w:t>
      </w:r>
      <w:r w:rsidR="008F56AF">
        <w:rPr>
          <w:rFonts w:ascii="Century Schoolbook" w:hAnsi="Century Schoolbook" w:cs="Times New Roman"/>
        </w:rPr>
        <w:t>Solutions</w:t>
      </w:r>
      <w:bookmarkEnd w:id="9"/>
    </w:p>
    <w:p w:rsidR="00FA3D50" w:rsidRPr="00E56B4D" w:rsidRDefault="00EB7776" w:rsidP="0002068B">
      <w:pPr>
        <w:pStyle w:val="Text"/>
        <w:spacing w:before="100" w:beforeAutospacing="1" w:after="240"/>
        <w:jc w:val="both"/>
        <w:rPr>
          <w:rFonts w:ascii="Century Schoolbook" w:hAnsi="Century Schoolbook" w:cs="Times New Roman"/>
        </w:rPr>
      </w:pPr>
      <w:r>
        <w:rPr>
          <w:rFonts w:ascii="Century Schoolbook" w:hAnsi="Century Schoolbook" w:cs="Times New Roman"/>
        </w:rPr>
        <w:t xml:space="preserve">One very intriguing </w:t>
      </w:r>
      <w:r w:rsidR="00641429" w:rsidRPr="00E56B4D">
        <w:rPr>
          <w:rFonts w:ascii="Century Schoolbook" w:hAnsi="Century Schoolbook" w:cs="Times New Roman"/>
        </w:rPr>
        <w:t>solution</w:t>
      </w:r>
      <w:r w:rsidR="00F85377">
        <w:rPr>
          <w:rFonts w:ascii="Century Schoolbook" w:hAnsi="Century Schoolbook" w:cs="Times New Roman"/>
        </w:rPr>
        <w:t xml:space="preserve"> is suggested by Peter A. Winn</w:t>
      </w:r>
      <w:r w:rsidR="00641429" w:rsidRPr="00E56B4D">
        <w:rPr>
          <w:rFonts w:ascii="Century Schoolbook" w:hAnsi="Century Schoolbook" w:cs="Times New Roman"/>
        </w:rPr>
        <w:t xml:space="preserve"> from the Department of Justice.  Mr. Winn compares governmental databases to </w:t>
      </w:r>
      <w:r w:rsidR="00440FC3">
        <w:rPr>
          <w:rFonts w:ascii="Century Schoolbook" w:hAnsi="Century Schoolbook" w:cs="Times New Roman"/>
        </w:rPr>
        <w:t xml:space="preserve">federal </w:t>
      </w:r>
      <w:r w:rsidR="00641429" w:rsidRPr="00E56B4D">
        <w:rPr>
          <w:rFonts w:ascii="Century Schoolbook" w:hAnsi="Century Schoolbook" w:cs="Times New Roman"/>
        </w:rPr>
        <w:t>lands and the allocation of environmental resources like minerals.</w:t>
      </w:r>
      <w:r w:rsidR="00641429" w:rsidRPr="00E56B4D">
        <w:rPr>
          <w:rStyle w:val="EndnoteReference"/>
          <w:rFonts w:ascii="Century Schoolbook" w:hAnsi="Century Schoolbook" w:cs="Times New Roman"/>
        </w:rPr>
        <w:endnoteReference w:id="101"/>
      </w:r>
      <w:r w:rsidR="00C36F4E">
        <w:rPr>
          <w:rFonts w:ascii="Century Schoolbook" w:hAnsi="Century Schoolbook" w:cs="Times New Roman"/>
        </w:rPr>
        <w:t xml:space="preserve">  The g</w:t>
      </w:r>
      <w:r w:rsidR="00641429" w:rsidRPr="00E56B4D">
        <w:rPr>
          <w:rFonts w:ascii="Century Schoolbook" w:hAnsi="Century Schoolbook" w:cs="Times New Roman"/>
        </w:rPr>
        <w:t xml:space="preserve">overnmental agency weighs the cost-benefit analysis between the </w:t>
      </w:r>
      <w:r w:rsidR="00781400">
        <w:rPr>
          <w:rFonts w:ascii="Century Schoolbook" w:hAnsi="Century Schoolbook" w:cs="Times New Roman"/>
        </w:rPr>
        <w:t>companies</w:t>
      </w:r>
      <w:r w:rsidR="00641429" w:rsidRPr="00E56B4D">
        <w:rPr>
          <w:rFonts w:ascii="Century Schoolbook" w:hAnsi="Century Schoolbook" w:cs="Times New Roman"/>
        </w:rPr>
        <w:t xml:space="preserve"> extracting the minerals and the negative externalities, pollution </w:t>
      </w:r>
      <w:r w:rsidR="00440FC3">
        <w:rPr>
          <w:rFonts w:ascii="Century Schoolbook" w:hAnsi="Century Schoolbook" w:cs="Times New Roman"/>
        </w:rPr>
        <w:t>or destruction</w:t>
      </w:r>
      <w:r w:rsidR="00641429" w:rsidRPr="00E56B4D">
        <w:rPr>
          <w:rFonts w:ascii="Century Schoolbook" w:hAnsi="Century Schoolbook" w:cs="Times New Roman"/>
        </w:rPr>
        <w:t xml:space="preserve">, caused by the mining activity. </w:t>
      </w:r>
      <w:r w:rsidR="000D708A" w:rsidRPr="00E56B4D">
        <w:rPr>
          <w:rFonts w:ascii="Century Schoolbook" w:hAnsi="Century Schoolbook" w:cs="Times New Roman"/>
        </w:rPr>
        <w:t xml:space="preserve"> </w:t>
      </w:r>
      <w:r w:rsidR="00641429" w:rsidRPr="00E56B4D">
        <w:rPr>
          <w:rFonts w:ascii="Century Schoolbook" w:hAnsi="Century Schoolbook" w:cs="Times New Roman"/>
        </w:rPr>
        <w:t>The federal and state agencies consider all the potential costs and benefits</w:t>
      </w:r>
      <w:r w:rsidR="00440FC3">
        <w:rPr>
          <w:rFonts w:ascii="Century Schoolbook" w:hAnsi="Century Schoolbook" w:cs="Times New Roman"/>
        </w:rPr>
        <w:t xml:space="preserve"> when granting permission to a mining company to extract minerals</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102"/>
      </w:r>
      <w:r w:rsidR="00641429" w:rsidRPr="00E56B4D">
        <w:rPr>
          <w:rFonts w:ascii="Century Schoolbook" w:hAnsi="Century Schoolbook" w:cs="Times New Roman"/>
        </w:rPr>
        <w:t xml:space="preserve"> </w:t>
      </w:r>
      <w:r w:rsidR="000D708A" w:rsidRPr="00E56B4D">
        <w:rPr>
          <w:rFonts w:ascii="Century Schoolbook" w:hAnsi="Century Schoolbook" w:cs="Times New Roman"/>
        </w:rPr>
        <w:t xml:space="preserve"> </w:t>
      </w:r>
      <w:r w:rsidR="00440FC3">
        <w:rPr>
          <w:rFonts w:ascii="Century Schoolbook" w:hAnsi="Century Schoolbook" w:cs="Times New Roman"/>
        </w:rPr>
        <w:t>S</w:t>
      </w:r>
      <w:r w:rsidR="00984A47" w:rsidRPr="00E56B4D">
        <w:rPr>
          <w:rFonts w:ascii="Century Schoolbook" w:hAnsi="Century Schoolbook" w:cs="Times New Roman"/>
        </w:rPr>
        <w:t xml:space="preserve">pecialized agencies conduct tests and propose rules </w:t>
      </w:r>
      <w:r w:rsidR="00D95BCF">
        <w:rPr>
          <w:rFonts w:ascii="Century Schoolbook" w:hAnsi="Century Schoolbook" w:cs="Times New Roman"/>
        </w:rPr>
        <w:t xml:space="preserve">that </w:t>
      </w:r>
      <w:r w:rsidR="00984A47" w:rsidRPr="00E56B4D">
        <w:rPr>
          <w:rFonts w:ascii="Century Schoolbook" w:hAnsi="Century Schoolbook" w:cs="Times New Roman"/>
        </w:rPr>
        <w:t>reflect a more systematic cost-benefit analysis that weighs the “overall” social welfare</w:t>
      </w:r>
      <w:r w:rsidR="00641429" w:rsidRPr="00E56B4D">
        <w:rPr>
          <w:rFonts w:ascii="Century Schoolbook" w:hAnsi="Century Schoolbook" w:cs="Times New Roman"/>
        </w:rPr>
        <w:t>.</w:t>
      </w:r>
      <w:r w:rsidR="00641429" w:rsidRPr="00E56B4D">
        <w:rPr>
          <w:rStyle w:val="EndnoteReference"/>
          <w:rFonts w:ascii="Century Schoolbook" w:hAnsi="Century Schoolbook" w:cs="Times New Roman"/>
        </w:rPr>
        <w:endnoteReference w:id="103"/>
      </w:r>
      <w:r w:rsidR="00641429" w:rsidRPr="00E56B4D">
        <w:rPr>
          <w:rFonts w:ascii="Century Schoolbook" w:hAnsi="Century Schoolbook" w:cs="Times New Roman"/>
        </w:rPr>
        <w:t xml:space="preserve"> </w:t>
      </w:r>
      <w:r w:rsidR="00984A47" w:rsidRPr="00E56B4D">
        <w:rPr>
          <w:rFonts w:ascii="Century Schoolbook" w:hAnsi="Century Schoolbook" w:cs="Times New Roman"/>
        </w:rPr>
        <w:t xml:space="preserve"> </w:t>
      </w:r>
      <w:r w:rsidR="00641429" w:rsidRPr="00E56B4D">
        <w:rPr>
          <w:rFonts w:ascii="Century Schoolbook" w:hAnsi="Century Schoolbook" w:cs="Times New Roman"/>
        </w:rPr>
        <w:t xml:space="preserve">“In a similar way, the problems that have been identified with the system of </w:t>
      </w:r>
      <w:r w:rsidR="00440FC3">
        <w:rPr>
          <w:rFonts w:ascii="Century Schoolbook" w:hAnsi="Century Schoolbook" w:cs="Times New Roman"/>
        </w:rPr>
        <w:t xml:space="preserve">judicial </w:t>
      </w:r>
      <w:r w:rsidR="00D95BCF">
        <w:rPr>
          <w:rFonts w:ascii="Century Schoolbook" w:hAnsi="Century Schoolbook" w:cs="Times New Roman"/>
        </w:rPr>
        <w:t>data</w:t>
      </w:r>
      <w:r w:rsidR="00641429" w:rsidRPr="00E56B4D">
        <w:rPr>
          <w:rFonts w:ascii="Century Schoolbook" w:hAnsi="Century Schoolbook" w:cs="Times New Roman"/>
        </w:rPr>
        <w:t xml:space="preserve"> suggest that we look to the earlier model of environmental protection law.”</w:t>
      </w:r>
      <w:r w:rsidR="00984A47" w:rsidRPr="00E56B4D">
        <w:rPr>
          <w:rStyle w:val="EndnoteReference"/>
          <w:rFonts w:ascii="Century Schoolbook" w:hAnsi="Century Schoolbook" w:cs="Times New Roman"/>
        </w:rPr>
        <w:endnoteReference w:id="104"/>
      </w:r>
      <w:r w:rsidR="00641429" w:rsidRPr="00E56B4D">
        <w:rPr>
          <w:rFonts w:ascii="Century Schoolbook" w:hAnsi="Century Schoolbook" w:cs="Times New Roman"/>
        </w:rPr>
        <w:t xml:space="preserve">  </w:t>
      </w:r>
      <w:r w:rsidR="00984A47" w:rsidRPr="00E56B4D">
        <w:rPr>
          <w:rFonts w:ascii="Century Schoolbook" w:hAnsi="Century Schoolbook" w:cs="Times New Roman"/>
        </w:rPr>
        <w:t xml:space="preserve">Judicial data, like public </w:t>
      </w:r>
      <w:r w:rsidR="00984A47" w:rsidRPr="00E56B4D">
        <w:rPr>
          <w:rFonts w:ascii="Century Schoolbook" w:hAnsi="Century Schoolbook" w:cs="Times New Roman"/>
        </w:rPr>
        <w:lastRenderedPageBreak/>
        <w:t xml:space="preserve">lands, is a public resource.  </w:t>
      </w:r>
      <w:r w:rsidR="00641429" w:rsidRPr="00E56B4D">
        <w:rPr>
          <w:rFonts w:ascii="Century Schoolbook" w:hAnsi="Century Schoolbook" w:cs="Times New Roman"/>
        </w:rPr>
        <w:t xml:space="preserve">What </w:t>
      </w:r>
      <w:r w:rsidR="00781400" w:rsidRPr="00E56B4D">
        <w:rPr>
          <w:rFonts w:ascii="Century Schoolbook" w:hAnsi="Century Schoolbook" w:cs="Times New Roman"/>
        </w:rPr>
        <w:t xml:space="preserve">Winn </w:t>
      </w:r>
      <w:r w:rsidR="00641429" w:rsidRPr="00E56B4D">
        <w:rPr>
          <w:rFonts w:ascii="Century Schoolbook" w:hAnsi="Century Schoolbook" w:cs="Times New Roman"/>
        </w:rPr>
        <w:t xml:space="preserve">proposes is an audit and oversight management </w:t>
      </w:r>
      <w:r w:rsidR="00F85377">
        <w:rPr>
          <w:rFonts w:ascii="Century Schoolbook" w:hAnsi="Century Schoolbook" w:cs="Times New Roman"/>
        </w:rPr>
        <w:t xml:space="preserve">agency </w:t>
      </w:r>
      <w:r w:rsidR="00641429" w:rsidRPr="00E56B4D">
        <w:rPr>
          <w:rFonts w:ascii="Century Schoolbook" w:hAnsi="Century Schoolbook" w:cs="Times New Roman"/>
        </w:rPr>
        <w:t>to address the problems of manag</w:t>
      </w:r>
      <w:r w:rsidR="00F85377">
        <w:rPr>
          <w:rFonts w:ascii="Century Schoolbook" w:hAnsi="Century Schoolbook" w:cs="Times New Roman"/>
        </w:rPr>
        <w:t xml:space="preserve">ing </w:t>
      </w:r>
      <w:r w:rsidR="00D95BCF">
        <w:rPr>
          <w:rFonts w:ascii="Century Schoolbook" w:hAnsi="Century Schoolbook" w:cs="Times New Roman"/>
        </w:rPr>
        <w:t>governmental data</w:t>
      </w:r>
      <w:r w:rsidR="00641429" w:rsidRPr="00E56B4D">
        <w:rPr>
          <w:rFonts w:ascii="Century Schoolbook" w:hAnsi="Century Schoolbook" w:cs="Times New Roman"/>
        </w:rPr>
        <w:t xml:space="preserve"> from the point of view of the judicial “ecosystem”.</w:t>
      </w:r>
      <w:r w:rsidR="00641429" w:rsidRPr="00E56B4D">
        <w:rPr>
          <w:rStyle w:val="EndnoteReference"/>
          <w:rFonts w:ascii="Century Schoolbook" w:hAnsi="Century Schoolbook" w:cs="Times New Roman"/>
        </w:rPr>
        <w:endnoteReference w:id="105"/>
      </w:r>
      <w:r w:rsidR="00641429" w:rsidRPr="00E56B4D">
        <w:rPr>
          <w:rFonts w:ascii="Century Schoolbook" w:hAnsi="Century Schoolbook" w:cs="Times New Roman"/>
        </w:rPr>
        <w:t xml:space="preserve"> </w:t>
      </w:r>
      <w:r w:rsidR="000D708A" w:rsidRPr="00E56B4D">
        <w:rPr>
          <w:rFonts w:ascii="Century Schoolbook" w:hAnsi="Century Schoolbook" w:cs="Times New Roman"/>
        </w:rPr>
        <w:t xml:space="preserve"> </w:t>
      </w:r>
      <w:r w:rsidR="00641429" w:rsidRPr="00E56B4D">
        <w:rPr>
          <w:rFonts w:ascii="Century Schoolbook" w:hAnsi="Century Schoolbook" w:cs="Times New Roman"/>
        </w:rPr>
        <w:t xml:space="preserve">Winn advices </w:t>
      </w:r>
      <w:r w:rsidR="00C36F4E">
        <w:rPr>
          <w:rFonts w:ascii="Century Schoolbook" w:hAnsi="Century Schoolbook" w:cs="Times New Roman"/>
        </w:rPr>
        <w:t xml:space="preserve">using </w:t>
      </w:r>
      <w:r w:rsidR="006E7306">
        <w:rPr>
          <w:rFonts w:ascii="Century Schoolbook" w:hAnsi="Century Schoolbook" w:cs="Times New Roman"/>
        </w:rPr>
        <w:t xml:space="preserve">a </w:t>
      </w:r>
      <w:r w:rsidR="00641429" w:rsidRPr="00E56B4D">
        <w:rPr>
          <w:rFonts w:ascii="Century Schoolbook" w:hAnsi="Century Schoolbook" w:cs="Times New Roman"/>
        </w:rPr>
        <w:t xml:space="preserve">public body </w:t>
      </w:r>
      <w:r w:rsidR="00F85377">
        <w:rPr>
          <w:rFonts w:ascii="Century Schoolbook" w:hAnsi="Century Schoolbook" w:cs="Times New Roman"/>
        </w:rPr>
        <w:t xml:space="preserve">like </w:t>
      </w:r>
      <w:r w:rsidR="00641429" w:rsidRPr="00E56B4D">
        <w:rPr>
          <w:rFonts w:ascii="Century Schoolbook" w:hAnsi="Century Schoolbook" w:cs="Times New Roman"/>
        </w:rPr>
        <w:t xml:space="preserve">the Administrative Office of U.S. </w:t>
      </w:r>
      <w:proofErr w:type="gramStart"/>
      <w:r w:rsidR="00641429" w:rsidRPr="00E56B4D">
        <w:rPr>
          <w:rFonts w:ascii="Century Schoolbook" w:hAnsi="Century Schoolbook" w:cs="Times New Roman"/>
        </w:rPr>
        <w:t>Courts,</w:t>
      </w:r>
      <w:proofErr w:type="gramEnd"/>
      <w:r w:rsidR="00641429" w:rsidRPr="00E56B4D">
        <w:rPr>
          <w:rFonts w:ascii="Century Schoolbook" w:hAnsi="Century Schoolbook" w:cs="Times New Roman"/>
        </w:rPr>
        <w:t xml:space="preserve"> presently charged with running the PACER system.</w:t>
      </w:r>
      <w:r w:rsidR="000D708A" w:rsidRPr="00E56B4D">
        <w:rPr>
          <w:rFonts w:ascii="Century Schoolbook" w:hAnsi="Century Schoolbook" w:cs="Times New Roman"/>
        </w:rPr>
        <w:t xml:space="preserve">  </w:t>
      </w:r>
      <w:r w:rsidR="00D0732C">
        <w:rPr>
          <w:rFonts w:ascii="Century Schoolbook" w:hAnsi="Century Schoolbook" w:cs="Times New Roman"/>
        </w:rPr>
        <w:t xml:space="preserve">Entities wanting access to the data could petition </w:t>
      </w:r>
      <w:r w:rsidR="00440FC3">
        <w:rPr>
          <w:rFonts w:ascii="Century Schoolbook" w:hAnsi="Century Schoolbook" w:cs="Times New Roman"/>
        </w:rPr>
        <w:t xml:space="preserve">this data </w:t>
      </w:r>
      <w:r w:rsidR="00D0732C">
        <w:rPr>
          <w:rFonts w:ascii="Century Schoolbook" w:hAnsi="Century Schoolbook" w:cs="Times New Roman"/>
        </w:rPr>
        <w:t>agency</w:t>
      </w:r>
      <w:r w:rsidR="00440FC3">
        <w:rPr>
          <w:rFonts w:ascii="Century Schoolbook" w:hAnsi="Century Schoolbook" w:cs="Times New Roman"/>
        </w:rPr>
        <w:t xml:space="preserve"> for permission to mine the data</w:t>
      </w:r>
      <w:r w:rsidR="00D0732C">
        <w:rPr>
          <w:rFonts w:ascii="Century Schoolbook" w:hAnsi="Century Schoolbook" w:cs="Times New Roman"/>
        </w:rPr>
        <w:t xml:space="preserve">.  </w:t>
      </w:r>
      <w:r w:rsidR="00D95BCF">
        <w:rPr>
          <w:rFonts w:ascii="Century Schoolbook" w:hAnsi="Century Schoolbook" w:cs="Times New Roman"/>
        </w:rPr>
        <w:t xml:space="preserve">Organizations concerned with privacy </w:t>
      </w:r>
      <w:r w:rsidR="00641429" w:rsidRPr="00E56B4D">
        <w:rPr>
          <w:rFonts w:ascii="Century Schoolbook" w:hAnsi="Century Schoolbook" w:cs="Times New Roman"/>
        </w:rPr>
        <w:t xml:space="preserve">would </w:t>
      </w:r>
      <w:r w:rsidR="005532C4">
        <w:rPr>
          <w:rFonts w:ascii="Century Schoolbook" w:hAnsi="Century Schoolbook" w:cs="Times New Roman"/>
        </w:rPr>
        <w:t xml:space="preserve">have a say in </w:t>
      </w:r>
      <w:r w:rsidR="00D95BCF">
        <w:rPr>
          <w:rFonts w:ascii="Century Schoolbook" w:hAnsi="Century Schoolbook" w:cs="Times New Roman"/>
        </w:rPr>
        <w:t>protect</w:t>
      </w:r>
      <w:r w:rsidR="00BD7187">
        <w:rPr>
          <w:rFonts w:ascii="Century Schoolbook" w:hAnsi="Century Schoolbook" w:cs="Times New Roman"/>
        </w:rPr>
        <w:t>ing</w:t>
      </w:r>
      <w:r w:rsidR="00D95BCF">
        <w:rPr>
          <w:rFonts w:ascii="Century Schoolbook" w:hAnsi="Century Schoolbook" w:cs="Times New Roman"/>
        </w:rPr>
        <w:t xml:space="preserve"> the </w:t>
      </w:r>
      <w:r w:rsidR="00641429" w:rsidRPr="00E56B4D">
        <w:rPr>
          <w:rFonts w:ascii="Century Schoolbook" w:hAnsi="Century Schoolbook" w:cs="Times New Roman"/>
        </w:rPr>
        <w:t>data</w:t>
      </w:r>
      <w:r w:rsidR="00D95BCF">
        <w:rPr>
          <w:rFonts w:ascii="Century Schoolbook" w:hAnsi="Century Schoolbook" w:cs="Times New Roman"/>
        </w:rPr>
        <w:t>,</w:t>
      </w:r>
      <w:r w:rsidR="00641429" w:rsidRPr="00E56B4D">
        <w:rPr>
          <w:rFonts w:ascii="Century Schoolbook" w:hAnsi="Century Schoolbook" w:cs="Times New Roman"/>
        </w:rPr>
        <w:t xml:space="preserve"> </w:t>
      </w:r>
      <w:r w:rsidR="00D95BCF">
        <w:rPr>
          <w:rFonts w:ascii="Century Schoolbook" w:hAnsi="Century Schoolbook" w:cs="Times New Roman"/>
        </w:rPr>
        <w:t xml:space="preserve">the way </w:t>
      </w:r>
      <w:r w:rsidR="00631EC5">
        <w:rPr>
          <w:rFonts w:ascii="Century Schoolbook" w:hAnsi="Century Schoolbook" w:cs="Times New Roman"/>
        </w:rPr>
        <w:t xml:space="preserve">organizations like the Sierra Club </w:t>
      </w:r>
      <w:r w:rsidR="005E5039">
        <w:rPr>
          <w:rFonts w:ascii="Century Schoolbook" w:hAnsi="Century Schoolbook" w:cs="Times New Roman"/>
        </w:rPr>
        <w:t xml:space="preserve">protect resources </w:t>
      </w:r>
      <w:r w:rsidR="00641429" w:rsidRPr="00E56B4D">
        <w:rPr>
          <w:rFonts w:ascii="Century Schoolbook" w:hAnsi="Century Schoolbook" w:cs="Times New Roman"/>
        </w:rPr>
        <w:t>on public lands.</w:t>
      </w:r>
      <w:r w:rsidR="00641429" w:rsidRPr="00E56B4D">
        <w:rPr>
          <w:rStyle w:val="EndnoteReference"/>
          <w:rFonts w:ascii="Century Schoolbook" w:hAnsi="Century Schoolbook" w:cs="Times New Roman"/>
        </w:rPr>
        <w:endnoteReference w:id="106"/>
      </w:r>
      <w:r w:rsidR="000D708A" w:rsidRPr="00E56B4D">
        <w:rPr>
          <w:rFonts w:ascii="Century Schoolbook" w:hAnsi="Century Schoolbook" w:cs="Times New Roman"/>
        </w:rPr>
        <w:t xml:space="preserve">  </w:t>
      </w:r>
      <w:r w:rsidR="00984A47" w:rsidRPr="00E56B4D">
        <w:rPr>
          <w:rFonts w:ascii="Century Schoolbook" w:hAnsi="Century Schoolbook" w:cs="Times New Roman"/>
        </w:rPr>
        <w:t xml:space="preserve"> </w:t>
      </w:r>
      <w:r w:rsidR="00440FC3">
        <w:rPr>
          <w:rFonts w:ascii="Century Schoolbook" w:hAnsi="Century Schoolbook" w:cs="Times New Roman"/>
        </w:rPr>
        <w:t>U</w:t>
      </w:r>
      <w:r w:rsidR="00984A47" w:rsidRPr="00E56B4D">
        <w:rPr>
          <w:rFonts w:ascii="Century Schoolbook" w:hAnsi="Century Schoolbook" w:cs="Times New Roman"/>
        </w:rPr>
        <w:t xml:space="preserve">nder the guidance of </w:t>
      </w:r>
      <w:r w:rsidR="0097115B">
        <w:rPr>
          <w:rFonts w:ascii="Century Schoolbook" w:hAnsi="Century Schoolbook" w:cs="Times New Roman"/>
        </w:rPr>
        <w:t>federal or state agency</w:t>
      </w:r>
      <w:r w:rsidR="00440FC3">
        <w:rPr>
          <w:rFonts w:ascii="Century Schoolbook" w:hAnsi="Century Schoolbook" w:cs="Times New Roman"/>
        </w:rPr>
        <w:t>, d</w:t>
      </w:r>
      <w:r w:rsidR="0097115B">
        <w:rPr>
          <w:rFonts w:ascii="Century Schoolbook" w:hAnsi="Century Schoolbook" w:cs="Times New Roman"/>
        </w:rPr>
        <w:t xml:space="preserve">ata mining organizations </w:t>
      </w:r>
      <w:r w:rsidR="00641429" w:rsidRPr="00E56B4D">
        <w:rPr>
          <w:rFonts w:ascii="Century Schoolbook" w:hAnsi="Century Schoolbook" w:cs="Times New Roman"/>
        </w:rPr>
        <w:t>would be required to scrub data and remove all identifying information before republishing the data to the public.</w:t>
      </w:r>
      <w:r w:rsidR="00641429" w:rsidRPr="00E56B4D">
        <w:rPr>
          <w:rStyle w:val="EndnoteReference"/>
          <w:rFonts w:ascii="Century Schoolbook" w:hAnsi="Century Schoolbook" w:cs="Times New Roman"/>
        </w:rPr>
        <w:endnoteReference w:id="107"/>
      </w:r>
      <w:r w:rsidR="000D708A" w:rsidRPr="00E56B4D">
        <w:rPr>
          <w:rFonts w:ascii="Century Schoolbook" w:hAnsi="Century Schoolbook" w:cs="Times New Roman"/>
        </w:rPr>
        <w:t xml:space="preserve">  </w:t>
      </w:r>
      <w:r w:rsidR="00641429" w:rsidRPr="00E56B4D">
        <w:rPr>
          <w:rFonts w:ascii="Century Schoolbook" w:hAnsi="Century Schoolbook" w:cs="Times New Roman"/>
        </w:rPr>
        <w:t xml:space="preserve">Contracts with </w:t>
      </w:r>
      <w:r w:rsidR="0097115B">
        <w:rPr>
          <w:rFonts w:ascii="Century Schoolbook" w:hAnsi="Century Schoolbook" w:cs="Times New Roman"/>
        </w:rPr>
        <w:t xml:space="preserve">these </w:t>
      </w:r>
      <w:r w:rsidR="00641429" w:rsidRPr="00E56B4D">
        <w:rPr>
          <w:rFonts w:ascii="Century Schoolbook" w:hAnsi="Century Schoolbook" w:cs="Times New Roman"/>
        </w:rPr>
        <w:t>data aggregators</w:t>
      </w:r>
      <w:r w:rsidR="00984A47" w:rsidRPr="00E56B4D">
        <w:rPr>
          <w:rFonts w:ascii="Century Schoolbook" w:hAnsi="Century Schoolbook" w:cs="Times New Roman"/>
        </w:rPr>
        <w:t xml:space="preserve">, statistical analyzers, or data-miners </w:t>
      </w:r>
      <w:r w:rsidR="0097115B">
        <w:rPr>
          <w:rFonts w:ascii="Century Schoolbook" w:hAnsi="Century Schoolbook" w:cs="Times New Roman"/>
        </w:rPr>
        <w:t xml:space="preserve">would allow for </w:t>
      </w:r>
      <w:r w:rsidR="00C36F4E">
        <w:rPr>
          <w:rFonts w:ascii="Century Schoolbook" w:hAnsi="Century Schoolbook" w:cs="Times New Roman"/>
        </w:rPr>
        <w:t>adequate audit and oversight.</w:t>
      </w:r>
      <w:r w:rsidR="00C36F4E">
        <w:rPr>
          <w:rStyle w:val="EndnoteReference"/>
          <w:rFonts w:ascii="Century Schoolbook" w:hAnsi="Century Schoolbook" w:cs="Times New Roman"/>
        </w:rPr>
        <w:endnoteReference w:id="108"/>
      </w:r>
      <w:r w:rsidR="00C36F4E">
        <w:rPr>
          <w:rFonts w:ascii="Century Schoolbook" w:hAnsi="Century Schoolbook" w:cs="Times New Roman"/>
        </w:rPr>
        <w:t xml:space="preserve">  P</w:t>
      </w:r>
      <w:r w:rsidR="0097115B">
        <w:rPr>
          <w:rFonts w:ascii="Century Schoolbook" w:hAnsi="Century Schoolbook" w:cs="Times New Roman"/>
        </w:rPr>
        <w:t xml:space="preserve">rincipals </w:t>
      </w:r>
      <w:r w:rsidR="00C36F4E">
        <w:rPr>
          <w:rFonts w:ascii="Century Schoolbook" w:hAnsi="Century Schoolbook" w:cs="Times New Roman"/>
        </w:rPr>
        <w:t xml:space="preserve">could be </w:t>
      </w:r>
      <w:r w:rsidR="0097115B">
        <w:rPr>
          <w:rFonts w:ascii="Century Schoolbook" w:hAnsi="Century Schoolbook" w:cs="Times New Roman"/>
        </w:rPr>
        <w:t xml:space="preserve">set </w:t>
      </w:r>
      <w:r w:rsidR="00440FC3">
        <w:rPr>
          <w:rFonts w:ascii="Century Schoolbook" w:hAnsi="Century Schoolbook" w:cs="Times New Roman"/>
        </w:rPr>
        <w:t xml:space="preserve">in place </w:t>
      </w:r>
      <w:r w:rsidR="00C36F4E">
        <w:rPr>
          <w:rFonts w:ascii="Century Schoolbook" w:hAnsi="Century Schoolbook" w:cs="Times New Roman"/>
        </w:rPr>
        <w:t xml:space="preserve">to </w:t>
      </w:r>
      <w:r w:rsidR="00440FC3">
        <w:rPr>
          <w:rFonts w:ascii="Century Schoolbook" w:hAnsi="Century Schoolbook" w:cs="Times New Roman"/>
        </w:rPr>
        <w:t xml:space="preserve">frame </w:t>
      </w:r>
      <w:r w:rsidR="00641429" w:rsidRPr="00E56B4D">
        <w:rPr>
          <w:rFonts w:ascii="Century Schoolbook" w:hAnsi="Century Schoolbook" w:cs="Times New Roman"/>
        </w:rPr>
        <w:t>new rules and policies</w:t>
      </w:r>
      <w:r w:rsidR="00440FC3">
        <w:rPr>
          <w:rFonts w:ascii="Century Schoolbook" w:hAnsi="Century Schoolbook" w:cs="Times New Roman"/>
        </w:rPr>
        <w:t xml:space="preserve"> with mining entity</w:t>
      </w:r>
      <w:r w:rsidR="00641429" w:rsidRPr="00E56B4D">
        <w:rPr>
          <w:rFonts w:ascii="Century Schoolbook" w:hAnsi="Century Schoolbook" w:cs="Times New Roman"/>
        </w:rPr>
        <w:t xml:space="preserve"> by contract </w:t>
      </w:r>
      <w:r w:rsidR="00984A47" w:rsidRPr="00E56B4D">
        <w:rPr>
          <w:rFonts w:ascii="Century Schoolbook" w:hAnsi="Century Schoolbook" w:cs="Times New Roman"/>
        </w:rPr>
        <w:t xml:space="preserve">negotiation, by enforcement action, or </w:t>
      </w:r>
      <w:r w:rsidR="00440FC3">
        <w:rPr>
          <w:rFonts w:ascii="Century Schoolbook" w:hAnsi="Century Schoolbook" w:cs="Times New Roman"/>
        </w:rPr>
        <w:t xml:space="preserve">by </w:t>
      </w:r>
      <w:r w:rsidR="00984A47" w:rsidRPr="00E56B4D">
        <w:rPr>
          <w:rFonts w:ascii="Century Schoolbook" w:hAnsi="Century Schoolbook" w:cs="Times New Roman"/>
        </w:rPr>
        <w:t>r</w:t>
      </w:r>
      <w:r w:rsidR="00641429" w:rsidRPr="00E56B4D">
        <w:rPr>
          <w:rFonts w:ascii="Century Schoolbook" w:hAnsi="Century Schoolbook" w:cs="Times New Roman"/>
        </w:rPr>
        <w:t xml:space="preserve">evoking the contractual license of </w:t>
      </w:r>
      <w:r w:rsidR="00440FC3">
        <w:rPr>
          <w:rFonts w:ascii="Century Schoolbook" w:hAnsi="Century Schoolbook" w:cs="Times New Roman"/>
        </w:rPr>
        <w:t xml:space="preserve">companies </w:t>
      </w:r>
      <w:r w:rsidR="00984A47" w:rsidRPr="00E56B4D">
        <w:rPr>
          <w:rFonts w:ascii="Century Schoolbook" w:hAnsi="Century Schoolbook" w:cs="Times New Roman"/>
        </w:rPr>
        <w:t xml:space="preserve">engaged in </w:t>
      </w:r>
      <w:r w:rsidR="00440FC3">
        <w:rPr>
          <w:rFonts w:ascii="Century Schoolbook" w:hAnsi="Century Schoolbook" w:cs="Times New Roman"/>
        </w:rPr>
        <w:t xml:space="preserve">harmful </w:t>
      </w:r>
      <w:r w:rsidR="00641429" w:rsidRPr="00E56B4D">
        <w:rPr>
          <w:rFonts w:ascii="Century Schoolbook" w:hAnsi="Century Schoolbook" w:cs="Times New Roman"/>
        </w:rPr>
        <w:t>data mining activities.</w:t>
      </w:r>
      <w:r w:rsidR="00641429" w:rsidRPr="00E56B4D">
        <w:rPr>
          <w:rStyle w:val="EndnoteReference"/>
          <w:rFonts w:ascii="Century Schoolbook" w:hAnsi="Century Schoolbook" w:cs="Times New Roman"/>
        </w:rPr>
        <w:endnoteReference w:id="109"/>
      </w:r>
      <w:r w:rsidR="000D708A" w:rsidRPr="00E56B4D">
        <w:rPr>
          <w:rFonts w:ascii="Century Schoolbook" w:hAnsi="Century Schoolbook" w:cs="Times New Roman"/>
        </w:rPr>
        <w:t xml:space="preserve">  </w:t>
      </w:r>
    </w:p>
    <w:p w:rsidR="008155D3" w:rsidRPr="00E56B4D" w:rsidRDefault="009F0ED5" w:rsidP="0002068B">
      <w:pPr>
        <w:pStyle w:val="Heading"/>
        <w:spacing w:before="360" w:beforeAutospacing="1" w:after="240" w:line="480" w:lineRule="auto"/>
        <w:jc w:val="both"/>
        <w:rPr>
          <w:rFonts w:cs="Times New Roman"/>
        </w:rPr>
      </w:pPr>
      <w:bookmarkStart w:id="10" w:name="_Toc362462020"/>
      <w:r w:rsidRPr="00E56B4D">
        <w:rPr>
          <w:rFonts w:cs="Times New Roman"/>
        </w:rPr>
        <w:t xml:space="preserve">V. </w:t>
      </w:r>
      <w:r w:rsidR="008155D3" w:rsidRPr="00E56B4D">
        <w:rPr>
          <w:rFonts w:cs="Times New Roman"/>
        </w:rPr>
        <w:t>CONCLUSION</w:t>
      </w:r>
      <w:bookmarkEnd w:id="10"/>
    </w:p>
    <w:p w:rsidR="000D708A" w:rsidRPr="008F56AF" w:rsidRDefault="008F56AF" w:rsidP="008F56AF">
      <w:pPr>
        <w:pStyle w:val="Text"/>
        <w:spacing w:before="100" w:beforeAutospacing="1" w:after="240"/>
        <w:jc w:val="both"/>
        <w:rPr>
          <w:rFonts w:ascii="Century Schoolbook" w:hAnsi="Century Schoolbook" w:cs="Times New Roman"/>
        </w:rPr>
      </w:pPr>
      <w:r w:rsidRPr="008F56AF">
        <w:rPr>
          <w:rFonts w:ascii="Century Schoolbook" w:hAnsi="Century Schoolbook" w:cs="Times New Roman"/>
        </w:rPr>
        <w:t>There are large government</w:t>
      </w:r>
      <w:r w:rsidR="006E7306">
        <w:rPr>
          <w:rFonts w:ascii="Century Schoolbook" w:hAnsi="Century Schoolbook" w:cs="Times New Roman"/>
        </w:rPr>
        <w:t xml:space="preserve"> </w:t>
      </w:r>
      <w:r w:rsidRPr="008F56AF">
        <w:rPr>
          <w:rFonts w:ascii="Century Schoolbook" w:hAnsi="Century Schoolbook" w:cs="Times New Roman"/>
        </w:rPr>
        <w:t>databases, particularly court and litigation databases</w:t>
      </w:r>
      <w:r>
        <w:rPr>
          <w:rFonts w:ascii="Century Schoolbook" w:hAnsi="Century Schoolbook" w:cs="Times New Roman"/>
        </w:rPr>
        <w:t>.  W</w:t>
      </w:r>
      <w:r w:rsidRPr="008F56AF">
        <w:rPr>
          <w:rFonts w:ascii="Century Schoolbook" w:hAnsi="Century Schoolbook" w:cs="Times New Roman"/>
        </w:rPr>
        <w:t xml:space="preserve">e should advocate for increased transparency </w:t>
      </w:r>
      <w:r>
        <w:rPr>
          <w:rFonts w:ascii="Century Schoolbook" w:hAnsi="Century Schoolbook" w:cs="Times New Roman"/>
        </w:rPr>
        <w:t xml:space="preserve">and access to these </w:t>
      </w:r>
      <w:r w:rsidRPr="008F56AF">
        <w:rPr>
          <w:rFonts w:ascii="Century Schoolbook" w:hAnsi="Century Schoolbook" w:cs="Times New Roman"/>
        </w:rPr>
        <w:t xml:space="preserve">databases </w:t>
      </w:r>
      <w:r>
        <w:rPr>
          <w:rFonts w:ascii="Century Schoolbook" w:hAnsi="Century Schoolbook" w:cs="Times New Roman"/>
        </w:rPr>
        <w:t xml:space="preserve">to understand the data and to </w:t>
      </w:r>
      <w:r w:rsidRPr="008F56AF">
        <w:rPr>
          <w:rFonts w:ascii="Century Schoolbook" w:hAnsi="Century Schoolbook" w:cs="Times New Roman"/>
        </w:rPr>
        <w:t>keep government abuse in check</w:t>
      </w:r>
      <w:r>
        <w:rPr>
          <w:rFonts w:ascii="Century Schoolbook" w:hAnsi="Century Schoolbook" w:cs="Times New Roman"/>
        </w:rPr>
        <w:t xml:space="preserve">.  </w:t>
      </w:r>
      <w:r w:rsidR="00C36F4E">
        <w:rPr>
          <w:rFonts w:ascii="Century Schoolbook" w:hAnsi="Century Schoolbook" w:cs="Times New Roman"/>
        </w:rPr>
        <w:t>T</w:t>
      </w:r>
      <w:r w:rsidR="0076697E" w:rsidRPr="00E56B4D">
        <w:rPr>
          <w:rFonts w:ascii="Century Schoolbook" w:hAnsi="Century Schoolbook" w:cs="Times New Roman"/>
        </w:rPr>
        <w:t xml:space="preserve">he </w:t>
      </w:r>
      <w:r w:rsidR="0097115B">
        <w:rPr>
          <w:rFonts w:ascii="Century Schoolbook" w:hAnsi="Century Schoolbook" w:cs="Times New Roman"/>
        </w:rPr>
        <w:t xml:space="preserve">fear of databases like the </w:t>
      </w:r>
      <w:r w:rsidR="0076697E" w:rsidRPr="00E56B4D">
        <w:rPr>
          <w:rFonts w:ascii="Century Schoolbook" w:hAnsi="Century Schoolbook" w:cs="Times New Roman"/>
        </w:rPr>
        <w:t xml:space="preserve">circular prisons </w:t>
      </w:r>
      <w:r w:rsidR="0097115B">
        <w:rPr>
          <w:rFonts w:ascii="Century Schoolbook" w:hAnsi="Century Schoolbook" w:cs="Times New Roman"/>
        </w:rPr>
        <w:t>can be alleviated by greater public access to the judicial databases</w:t>
      </w:r>
      <w:r w:rsidR="0076697E" w:rsidRPr="00E56B4D">
        <w:rPr>
          <w:rFonts w:ascii="Century Schoolbook" w:hAnsi="Century Schoolbook" w:cs="Times New Roman"/>
        </w:rPr>
        <w:t xml:space="preserve">.  </w:t>
      </w:r>
      <w:r w:rsidR="0097115B">
        <w:rPr>
          <w:rFonts w:ascii="Century Schoolbook" w:hAnsi="Century Schoolbook" w:cs="Times New Roman"/>
        </w:rPr>
        <w:t>A</w:t>
      </w:r>
      <w:r w:rsidR="0076697E" w:rsidRPr="00E56B4D">
        <w:rPr>
          <w:rFonts w:ascii="Century Schoolbook" w:hAnsi="Century Schoolbook" w:cs="Times New Roman"/>
        </w:rPr>
        <w:t>mazing things are being done with amassing and analyzing of data in the private and public field</w:t>
      </w:r>
      <w:r w:rsidR="000D708A" w:rsidRPr="00E56B4D">
        <w:rPr>
          <w:rFonts w:ascii="Century Schoolbook" w:hAnsi="Century Schoolbook" w:cs="Times New Roman"/>
        </w:rPr>
        <w:t>.</w:t>
      </w:r>
      <w:r w:rsidR="0076697E" w:rsidRPr="00E56B4D">
        <w:rPr>
          <w:rFonts w:ascii="Century Schoolbook" w:hAnsi="Century Schoolbook" w:cs="Times New Roman"/>
        </w:rPr>
        <w:t xml:space="preserve">  We are beginning to view our </w:t>
      </w:r>
      <w:r w:rsidR="0076697E" w:rsidRPr="00E56B4D">
        <w:rPr>
          <w:rFonts w:ascii="Century Schoolbook" w:hAnsi="Century Schoolbook" w:cs="Times New Roman"/>
        </w:rPr>
        <w:lastRenderedPageBreak/>
        <w:t xml:space="preserve">world from a more statistical point </w:t>
      </w:r>
      <w:r w:rsidR="006E7306">
        <w:rPr>
          <w:rFonts w:ascii="Century Schoolbook" w:hAnsi="Century Schoolbook" w:cs="Times New Roman"/>
        </w:rPr>
        <w:t xml:space="preserve">of view </w:t>
      </w:r>
      <w:r w:rsidR="0076697E" w:rsidRPr="00E56B4D">
        <w:rPr>
          <w:rFonts w:ascii="Century Schoolbook" w:hAnsi="Century Schoolbook" w:cs="Times New Roman"/>
        </w:rPr>
        <w:t xml:space="preserve">in a </w:t>
      </w:r>
      <w:r w:rsidR="00AE1B70" w:rsidRPr="00E56B4D">
        <w:rPr>
          <w:rFonts w:ascii="Century Schoolbook" w:hAnsi="Century Schoolbook" w:cs="Times New Roman"/>
        </w:rPr>
        <w:t xml:space="preserve">way that we have not been able to </w:t>
      </w:r>
      <w:r w:rsidR="00631EC5">
        <w:rPr>
          <w:rFonts w:ascii="Century Schoolbook" w:hAnsi="Century Schoolbook" w:cs="Times New Roman"/>
        </w:rPr>
        <w:t xml:space="preserve">do </w:t>
      </w:r>
      <w:r w:rsidR="006E7306">
        <w:rPr>
          <w:rFonts w:ascii="Century Schoolbook" w:hAnsi="Century Schoolbook" w:cs="Times New Roman"/>
        </w:rPr>
        <w:t>in history</w:t>
      </w:r>
      <w:r w:rsidR="00AE1B70" w:rsidRPr="00E56B4D">
        <w:rPr>
          <w:rFonts w:ascii="Century Schoolbook" w:hAnsi="Century Schoolbook" w:cs="Times New Roman"/>
        </w:rPr>
        <w:t xml:space="preserve">.  </w:t>
      </w:r>
      <w:r w:rsidRPr="008F56AF">
        <w:rPr>
          <w:rFonts w:ascii="Century Schoolbook" w:hAnsi="Century Schoolbook" w:cs="Times New Roman"/>
        </w:rPr>
        <w:t xml:space="preserve">There are </w:t>
      </w:r>
      <w:r>
        <w:rPr>
          <w:rFonts w:ascii="Century Schoolbook" w:hAnsi="Century Schoolbook" w:cs="Times New Roman"/>
        </w:rPr>
        <w:t xml:space="preserve">concerns </w:t>
      </w:r>
      <w:r w:rsidRPr="008F56AF">
        <w:rPr>
          <w:rFonts w:ascii="Century Schoolbook" w:hAnsi="Century Schoolbook" w:cs="Times New Roman"/>
        </w:rPr>
        <w:t xml:space="preserve">to transparency, including privacy </w:t>
      </w:r>
      <w:r w:rsidR="00AE1B70" w:rsidRPr="00E56B4D">
        <w:rPr>
          <w:rFonts w:ascii="Century Schoolbook" w:hAnsi="Century Schoolbook" w:cs="Times New Roman"/>
        </w:rPr>
        <w:t>concerns</w:t>
      </w:r>
      <w:r w:rsidR="00D0732C">
        <w:rPr>
          <w:rFonts w:ascii="Century Schoolbook" w:hAnsi="Century Schoolbook" w:cs="Times New Roman"/>
        </w:rPr>
        <w:t>, b</w:t>
      </w:r>
      <w:r w:rsidR="00C36F4E">
        <w:rPr>
          <w:rFonts w:ascii="Century Schoolbook" w:hAnsi="Century Schoolbook" w:cs="Times New Roman"/>
        </w:rPr>
        <w:t xml:space="preserve">ut they </w:t>
      </w:r>
      <w:r w:rsidR="00D0732C">
        <w:rPr>
          <w:rFonts w:ascii="Century Schoolbook" w:hAnsi="Century Schoolbook" w:cs="Times New Roman"/>
        </w:rPr>
        <w:t>should not paralyze</w:t>
      </w:r>
      <w:r w:rsidR="00C36F4E">
        <w:rPr>
          <w:rFonts w:ascii="Century Schoolbook" w:hAnsi="Century Schoolbook" w:cs="Times New Roman"/>
        </w:rPr>
        <w:t xml:space="preserve"> </w:t>
      </w:r>
      <w:r w:rsidR="00D0732C">
        <w:rPr>
          <w:rFonts w:ascii="Century Schoolbook" w:hAnsi="Century Schoolbook" w:cs="Times New Roman"/>
        </w:rPr>
        <w:t xml:space="preserve">us into </w:t>
      </w:r>
      <w:r w:rsidR="00631EC5">
        <w:rPr>
          <w:rFonts w:ascii="Century Schoolbook" w:hAnsi="Century Schoolbook" w:cs="Times New Roman"/>
        </w:rPr>
        <w:t>ignoring the problem</w:t>
      </w:r>
      <w:r w:rsidR="00AE1B70" w:rsidRPr="00E56B4D">
        <w:rPr>
          <w:rFonts w:ascii="Century Schoolbook" w:hAnsi="Century Schoolbook" w:cs="Times New Roman"/>
        </w:rPr>
        <w:t xml:space="preserve">.  </w:t>
      </w:r>
      <w:r w:rsidR="00BD7187">
        <w:rPr>
          <w:rFonts w:ascii="Century Schoolbook" w:hAnsi="Century Schoolbook" w:cs="Times New Roman"/>
        </w:rPr>
        <w:t>Ignoring the problem is making it worse</w:t>
      </w:r>
      <w:r w:rsidR="0065719F">
        <w:rPr>
          <w:rFonts w:ascii="Century Schoolbook" w:hAnsi="Century Schoolbook" w:cs="Times New Roman"/>
        </w:rPr>
        <w:t xml:space="preserve"> by creating removing privacy where it might need </w:t>
      </w:r>
      <w:r w:rsidR="006E7306">
        <w:rPr>
          <w:rFonts w:ascii="Century Schoolbook" w:hAnsi="Century Schoolbook" w:cs="Times New Roman"/>
        </w:rPr>
        <w:t xml:space="preserve">more protection </w:t>
      </w:r>
      <w:r w:rsidR="0065719F">
        <w:rPr>
          <w:rFonts w:ascii="Century Schoolbook" w:hAnsi="Century Schoolbook" w:cs="Times New Roman"/>
        </w:rPr>
        <w:t>and failing to provide adequate transparency</w:t>
      </w:r>
      <w:r w:rsidR="006E7306">
        <w:rPr>
          <w:rFonts w:ascii="Century Schoolbook" w:hAnsi="Century Schoolbook" w:cs="Times New Roman"/>
        </w:rPr>
        <w:t xml:space="preserve"> where needed</w:t>
      </w:r>
      <w:r w:rsidR="00BD7187">
        <w:rPr>
          <w:rFonts w:ascii="Century Schoolbook" w:hAnsi="Century Schoolbook" w:cs="Times New Roman"/>
        </w:rPr>
        <w:t xml:space="preserve">.   </w:t>
      </w:r>
      <w:r w:rsidR="00781400">
        <w:rPr>
          <w:rFonts w:ascii="Century Schoolbook" w:hAnsi="Century Schoolbook" w:cs="Times New Roman"/>
        </w:rPr>
        <w:t>T</w:t>
      </w:r>
      <w:r w:rsidRPr="008F56AF">
        <w:rPr>
          <w:rFonts w:ascii="Century Schoolbook" w:hAnsi="Century Schoolbook" w:cs="Times New Roman"/>
        </w:rPr>
        <w:t xml:space="preserve">hese privacy </w:t>
      </w:r>
      <w:r w:rsidR="00AE4EE4">
        <w:rPr>
          <w:rFonts w:ascii="Century Schoolbook" w:hAnsi="Century Schoolbook" w:cs="Times New Roman"/>
        </w:rPr>
        <w:t xml:space="preserve">concerns </w:t>
      </w:r>
      <w:r w:rsidR="00781400">
        <w:rPr>
          <w:rFonts w:ascii="Century Schoolbook" w:hAnsi="Century Schoolbook" w:cs="Times New Roman"/>
        </w:rPr>
        <w:t xml:space="preserve">can be mitigated </w:t>
      </w:r>
      <w:r w:rsidR="006E7306">
        <w:rPr>
          <w:rFonts w:ascii="Century Schoolbook" w:hAnsi="Century Schoolbook" w:cs="Times New Roman"/>
        </w:rPr>
        <w:t xml:space="preserve">with </w:t>
      </w:r>
      <w:r w:rsidRPr="008F56AF">
        <w:rPr>
          <w:rFonts w:ascii="Century Schoolbook" w:hAnsi="Century Schoolbook" w:cs="Times New Roman"/>
        </w:rPr>
        <w:t xml:space="preserve">technological or </w:t>
      </w:r>
      <w:r w:rsidR="00AE4EE4">
        <w:rPr>
          <w:rFonts w:ascii="Century Schoolbook" w:hAnsi="Century Schoolbook" w:cs="Times New Roman"/>
        </w:rPr>
        <w:t>organizational</w:t>
      </w:r>
      <w:r w:rsidRPr="008F56AF">
        <w:rPr>
          <w:rFonts w:ascii="Century Schoolbook" w:hAnsi="Century Schoolbook" w:cs="Times New Roman"/>
        </w:rPr>
        <w:t xml:space="preserve"> solutions</w:t>
      </w:r>
      <w:r>
        <w:rPr>
          <w:rFonts w:ascii="Century Schoolbook" w:hAnsi="Century Schoolbook" w:cs="Times New Roman"/>
        </w:rPr>
        <w:t xml:space="preserve">.  </w:t>
      </w:r>
      <w:r w:rsidR="00AE4EE4">
        <w:rPr>
          <w:rFonts w:ascii="Century Schoolbook" w:hAnsi="Century Schoolbook" w:cs="Times New Roman"/>
        </w:rPr>
        <w:t>L</w:t>
      </w:r>
      <w:r w:rsidR="00C36F4E">
        <w:rPr>
          <w:rFonts w:ascii="Century Schoolbook" w:hAnsi="Century Schoolbook" w:cs="Times New Roman"/>
        </w:rPr>
        <w:t xml:space="preserve">ooking at the data as a public good or public resource, we can find solutions </w:t>
      </w:r>
      <w:r w:rsidR="004E5D71">
        <w:rPr>
          <w:rFonts w:ascii="Century Schoolbook" w:hAnsi="Century Schoolbook" w:cs="Times New Roman"/>
        </w:rPr>
        <w:t>to controlling the extraction of public data</w:t>
      </w:r>
      <w:r w:rsidR="00D0732C">
        <w:rPr>
          <w:rFonts w:ascii="Century Schoolbook" w:hAnsi="Century Schoolbook" w:cs="Times New Roman"/>
        </w:rPr>
        <w:t xml:space="preserve"> while </w:t>
      </w:r>
      <w:r w:rsidR="004E5D71">
        <w:rPr>
          <w:rFonts w:ascii="Century Schoolbook" w:hAnsi="Century Schoolbook" w:cs="Times New Roman"/>
        </w:rPr>
        <w:t xml:space="preserve">still </w:t>
      </w:r>
      <w:r w:rsidR="00D0732C">
        <w:rPr>
          <w:rFonts w:ascii="Century Schoolbook" w:hAnsi="Century Schoolbook" w:cs="Times New Roman"/>
        </w:rPr>
        <w:t xml:space="preserve">protecting </w:t>
      </w:r>
      <w:r w:rsidR="004E5D71">
        <w:rPr>
          <w:rFonts w:ascii="Century Schoolbook" w:hAnsi="Century Schoolbook" w:cs="Times New Roman"/>
        </w:rPr>
        <w:t>our long cherished privacy and public access rights.</w:t>
      </w:r>
    </w:p>
    <w:sectPr w:rsidR="000D708A" w:rsidRPr="008F56AF" w:rsidSect="00012ADE">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889" w:rsidRDefault="00DC0889" w:rsidP="009B101D">
      <w:r>
        <w:separator/>
      </w:r>
    </w:p>
  </w:endnote>
  <w:endnote w:type="continuationSeparator" w:id="0">
    <w:p w:rsidR="00DC0889" w:rsidRDefault="00DC0889" w:rsidP="009B101D">
      <w:r>
        <w:continuationSeparator/>
      </w:r>
    </w:p>
  </w:endnote>
  <w:endnote w:id="1">
    <w:p w:rsidR="00A1470F" w:rsidRDefault="00A1470F" w:rsidP="0021122D">
      <w:pPr>
        <w:pStyle w:val="EndnoteText"/>
      </w:pPr>
      <w:r>
        <w:rPr>
          <w:rStyle w:val="EndnoteReference"/>
        </w:rPr>
        <w:endnoteRef/>
      </w:r>
      <w:r>
        <w:t xml:space="preserve"> </w:t>
      </w:r>
      <w:r w:rsidRPr="00E05563">
        <w:t xml:space="preserve">Joel Stein, </w:t>
      </w:r>
      <w:r w:rsidRPr="007557C5">
        <w:rPr>
          <w:i/>
        </w:rPr>
        <w:t>Data Mining: How Companies Now Know Everything About You</w:t>
      </w:r>
      <w:r w:rsidRPr="00E05563">
        <w:t xml:space="preserve">, TIME Magazine, Mar. 10, 2011, at </w:t>
      </w:r>
      <w:proofErr w:type="gramStart"/>
      <w:r w:rsidRPr="00E05563">
        <w:t>150.</w:t>
      </w:r>
      <w:proofErr w:type="gramEnd"/>
    </w:p>
  </w:endnote>
  <w:endnote w:id="2">
    <w:p w:rsidR="00A1470F" w:rsidRDefault="00A1470F">
      <w:pPr>
        <w:pStyle w:val="EndnoteText"/>
      </w:pPr>
      <w:r>
        <w:rPr>
          <w:rStyle w:val="EndnoteReference"/>
        </w:rPr>
        <w:endnoteRef/>
      </w:r>
      <w:r>
        <w:t xml:space="preserve"> </w:t>
      </w:r>
      <w:r w:rsidRPr="00DA574F">
        <w:rPr>
          <w:i/>
        </w:rPr>
        <w:t>Id</w:t>
      </w:r>
      <w:r>
        <w:t>.</w:t>
      </w:r>
    </w:p>
  </w:endnote>
  <w:endnote w:id="3">
    <w:p w:rsidR="00A1470F" w:rsidRDefault="00A1470F">
      <w:pPr>
        <w:pStyle w:val="EndnoteText"/>
      </w:pPr>
      <w:r>
        <w:rPr>
          <w:rStyle w:val="EndnoteReference"/>
        </w:rPr>
        <w:endnoteRef/>
      </w:r>
      <w:r>
        <w:t xml:space="preserve"> </w:t>
      </w:r>
      <w:r w:rsidRPr="00DA574F">
        <w:rPr>
          <w:i/>
        </w:rPr>
        <w:t>Id</w:t>
      </w:r>
      <w:r>
        <w:t>.</w:t>
      </w:r>
    </w:p>
  </w:endnote>
  <w:endnote w:id="4">
    <w:p w:rsidR="00A1470F" w:rsidRDefault="00A1470F" w:rsidP="00527293">
      <w:pPr>
        <w:pStyle w:val="EndnoteText"/>
      </w:pPr>
      <w:r>
        <w:rPr>
          <w:rStyle w:val="EndnoteReference"/>
        </w:rPr>
        <w:endnoteRef/>
      </w:r>
      <w:r>
        <w:t xml:space="preserve"> </w:t>
      </w:r>
      <w:r w:rsidRPr="00D14791">
        <w:rPr>
          <w:i/>
        </w:rPr>
        <w:t>Id</w:t>
      </w:r>
      <w:r>
        <w:t xml:space="preserve">. </w:t>
      </w:r>
    </w:p>
  </w:endnote>
  <w:endnote w:id="5">
    <w:p w:rsidR="00A1470F" w:rsidRDefault="00A1470F">
      <w:pPr>
        <w:pStyle w:val="EndnoteText"/>
      </w:pPr>
      <w:r>
        <w:rPr>
          <w:rStyle w:val="EndnoteReference"/>
        </w:rPr>
        <w:endnoteRef/>
      </w:r>
      <w:r>
        <w:t xml:space="preserve"> Edward K. Cheng, </w:t>
      </w:r>
      <w:r w:rsidRPr="00C16F41">
        <w:rPr>
          <w:i/>
        </w:rPr>
        <w:t xml:space="preserve">Will </w:t>
      </w:r>
      <w:proofErr w:type="spellStart"/>
      <w:r w:rsidRPr="00C16F41">
        <w:rPr>
          <w:i/>
        </w:rPr>
        <w:t>Quants</w:t>
      </w:r>
      <w:proofErr w:type="spellEnd"/>
      <w:r w:rsidRPr="00C16F41">
        <w:rPr>
          <w:i/>
        </w:rPr>
        <w:t xml:space="preserve"> Rule The (Legal) World</w:t>
      </w:r>
      <w:proofErr w:type="gramStart"/>
      <w:r w:rsidRPr="00C16F41">
        <w:rPr>
          <w:i/>
        </w:rPr>
        <w:t>?</w:t>
      </w:r>
      <w:r>
        <w:t>,</w:t>
      </w:r>
      <w:proofErr w:type="gramEnd"/>
      <w:r>
        <w:t xml:space="preserve"> 107 Mich. L. Rev. 967 (2009).</w:t>
      </w:r>
    </w:p>
  </w:endnote>
  <w:endnote w:id="6">
    <w:p w:rsidR="00A1470F" w:rsidRDefault="00A1470F">
      <w:pPr>
        <w:pStyle w:val="EndnoteText"/>
      </w:pPr>
      <w:r>
        <w:rPr>
          <w:rStyle w:val="EndnoteReference"/>
        </w:rPr>
        <w:endnoteRef/>
      </w:r>
      <w:r>
        <w:t xml:space="preserve"> </w:t>
      </w:r>
      <w:r w:rsidRPr="005A44FD">
        <w:rPr>
          <w:i/>
        </w:rPr>
        <w:t>Id</w:t>
      </w:r>
      <w:r>
        <w:t>.</w:t>
      </w:r>
    </w:p>
  </w:endnote>
  <w:endnote w:id="7">
    <w:p w:rsidR="00A1470F" w:rsidRDefault="00A1470F">
      <w:pPr>
        <w:pStyle w:val="EndnoteText"/>
      </w:pPr>
      <w:r>
        <w:rPr>
          <w:rStyle w:val="EndnoteReference"/>
        </w:rPr>
        <w:endnoteRef/>
      </w:r>
      <w:r>
        <w:t xml:space="preserve"> </w:t>
      </w:r>
      <w:proofErr w:type="gramStart"/>
      <w:r w:rsidRPr="00DA574F">
        <w:rPr>
          <w:i/>
        </w:rPr>
        <w:t>Id</w:t>
      </w:r>
      <w:r>
        <w:t xml:space="preserve"> at 975.</w:t>
      </w:r>
      <w:proofErr w:type="gramEnd"/>
    </w:p>
  </w:endnote>
  <w:endnote w:id="8">
    <w:p w:rsidR="00A1470F" w:rsidRDefault="00A1470F">
      <w:pPr>
        <w:pStyle w:val="EndnoteText"/>
      </w:pPr>
      <w:r>
        <w:rPr>
          <w:rStyle w:val="EndnoteReference"/>
        </w:rPr>
        <w:endnoteRef/>
      </w:r>
      <w:r>
        <w:t xml:space="preserve"> </w:t>
      </w:r>
      <w:r w:rsidRPr="005A44FD">
        <w:rPr>
          <w:i/>
        </w:rPr>
        <w:t>Id</w:t>
      </w:r>
      <w:r>
        <w:t>.</w:t>
      </w:r>
    </w:p>
  </w:endnote>
  <w:endnote w:id="9">
    <w:p w:rsidR="00A1470F" w:rsidRDefault="00A1470F">
      <w:pPr>
        <w:pStyle w:val="EndnoteText"/>
      </w:pPr>
      <w:r>
        <w:rPr>
          <w:rStyle w:val="EndnoteReference"/>
        </w:rPr>
        <w:endnoteRef/>
      </w:r>
      <w:r>
        <w:t xml:space="preserve"> </w:t>
      </w:r>
      <w:r w:rsidRPr="005A44FD">
        <w:rPr>
          <w:i/>
        </w:rPr>
        <w:t>Id</w:t>
      </w:r>
      <w:r>
        <w:t>.</w:t>
      </w:r>
    </w:p>
  </w:endnote>
  <w:endnote w:id="10">
    <w:p w:rsidR="00A1470F" w:rsidRDefault="00A1470F" w:rsidP="007525B5">
      <w:pPr>
        <w:pStyle w:val="EndnoteText"/>
      </w:pPr>
      <w:r>
        <w:rPr>
          <w:rStyle w:val="EndnoteReference"/>
        </w:rPr>
        <w:endnoteRef/>
      </w:r>
      <w:r>
        <w:t xml:space="preserve"> </w:t>
      </w:r>
      <w:r w:rsidRPr="00DA574F">
        <w:rPr>
          <w:i/>
        </w:rPr>
        <w:t>Id</w:t>
      </w:r>
      <w:r>
        <w:t>.</w:t>
      </w:r>
    </w:p>
  </w:endnote>
  <w:endnote w:id="11">
    <w:p w:rsidR="00A1470F" w:rsidRDefault="00A1470F" w:rsidP="007924D6">
      <w:pPr>
        <w:pStyle w:val="EndnoteText"/>
      </w:pPr>
      <w:r>
        <w:rPr>
          <w:rStyle w:val="EndnoteReference"/>
        </w:rPr>
        <w:endnoteRef/>
      </w:r>
      <w:r>
        <w:t xml:space="preserve"> </w:t>
      </w:r>
      <w:proofErr w:type="gramStart"/>
      <w:r w:rsidRPr="00DA574F">
        <w:rPr>
          <w:i/>
        </w:rPr>
        <w:t>Id</w:t>
      </w:r>
      <w:r>
        <w:t xml:space="preserve"> at 976.</w:t>
      </w:r>
      <w:proofErr w:type="gramEnd"/>
    </w:p>
  </w:endnote>
  <w:endnote w:id="12">
    <w:p w:rsidR="00A1470F" w:rsidRDefault="00A1470F" w:rsidP="00ED00F8">
      <w:pPr>
        <w:pStyle w:val="EndnoteText"/>
      </w:pPr>
      <w:r>
        <w:rPr>
          <w:rStyle w:val="EndnoteReference"/>
        </w:rPr>
        <w:endnoteRef/>
      </w:r>
      <w:r>
        <w:t xml:space="preserve"> Peter A. Winn, </w:t>
      </w:r>
      <w:r w:rsidRPr="00ED00F8">
        <w:rPr>
          <w:i/>
        </w:rPr>
        <w:t xml:space="preserve">Online Court Records: Balancing Judicial Accountability And Privacy In An Age Of Electronic </w:t>
      </w:r>
      <w:proofErr w:type="gramStart"/>
      <w:r w:rsidRPr="00ED00F8">
        <w:rPr>
          <w:i/>
        </w:rPr>
        <w:t>Information</w:t>
      </w:r>
      <w:r>
        <w:t>.,</w:t>
      </w:r>
      <w:proofErr w:type="gramEnd"/>
      <w:r>
        <w:t xml:space="preserve"> 79 Wash. L. Rev. 307 (2004).</w:t>
      </w:r>
    </w:p>
  </w:endnote>
  <w:endnote w:id="13">
    <w:p w:rsidR="00A1470F" w:rsidRDefault="00A1470F" w:rsidP="00AD41DC">
      <w:pPr>
        <w:pStyle w:val="EndnoteText"/>
      </w:pPr>
      <w:r>
        <w:rPr>
          <w:rStyle w:val="EndnoteReference"/>
        </w:rPr>
        <w:endnoteRef/>
      </w:r>
      <w:r>
        <w:t xml:space="preserve"> </w:t>
      </w:r>
      <w:proofErr w:type="gramStart"/>
      <w:r w:rsidRPr="001930C2">
        <w:rPr>
          <w:i/>
        </w:rPr>
        <w:t>Id</w:t>
      </w:r>
      <w:r>
        <w:t xml:space="preserve"> at 308.</w:t>
      </w:r>
      <w:proofErr w:type="gramEnd"/>
    </w:p>
  </w:endnote>
  <w:endnote w:id="14">
    <w:p w:rsidR="00A1470F" w:rsidRDefault="00A1470F" w:rsidP="005C253F">
      <w:pPr>
        <w:pStyle w:val="EndnoteText"/>
      </w:pPr>
      <w:r>
        <w:rPr>
          <w:rStyle w:val="EndnoteReference"/>
        </w:rPr>
        <w:endnoteRef/>
      </w:r>
      <w:r>
        <w:t xml:space="preserve"> </w:t>
      </w:r>
      <w:r w:rsidRPr="00FB1C76">
        <w:rPr>
          <w:i/>
        </w:rPr>
        <w:t>Id</w:t>
      </w:r>
      <w:r>
        <w:t>.</w:t>
      </w:r>
    </w:p>
  </w:endnote>
  <w:endnote w:id="15">
    <w:p w:rsidR="00A1470F" w:rsidRDefault="00A1470F" w:rsidP="005C253F">
      <w:pPr>
        <w:pStyle w:val="EndnoteText"/>
      </w:pPr>
      <w:r>
        <w:rPr>
          <w:rStyle w:val="EndnoteReference"/>
        </w:rPr>
        <w:endnoteRef/>
      </w:r>
      <w:r>
        <w:t xml:space="preserve"> </w:t>
      </w:r>
      <w:r w:rsidRPr="001930C2">
        <w:rPr>
          <w:i/>
        </w:rPr>
        <w:t>Id</w:t>
      </w:r>
      <w:r>
        <w:t xml:space="preserve"> </w:t>
      </w:r>
      <w:proofErr w:type="gramStart"/>
      <w:r>
        <w:t>At</w:t>
      </w:r>
      <w:proofErr w:type="gramEnd"/>
      <w:r>
        <w:t xml:space="preserve"> 315.</w:t>
      </w:r>
    </w:p>
  </w:endnote>
  <w:endnote w:id="16">
    <w:p w:rsidR="00A1470F" w:rsidRDefault="00A1470F" w:rsidP="0031637C">
      <w:pPr>
        <w:pStyle w:val="EndnoteText"/>
      </w:pPr>
      <w:r>
        <w:rPr>
          <w:rStyle w:val="EndnoteReference"/>
        </w:rPr>
        <w:endnoteRef/>
      </w:r>
      <w:r>
        <w:t xml:space="preserve"> </w:t>
      </w:r>
      <w:proofErr w:type="gramStart"/>
      <w:r w:rsidRPr="00E241F3">
        <w:rPr>
          <w:i/>
        </w:rPr>
        <w:t>Id</w:t>
      </w:r>
      <w:r>
        <w:t xml:space="preserve"> at 313.</w:t>
      </w:r>
      <w:proofErr w:type="gramEnd"/>
    </w:p>
  </w:endnote>
  <w:endnote w:id="17">
    <w:p w:rsidR="00A1470F" w:rsidRDefault="00A1470F" w:rsidP="00E07416">
      <w:pPr>
        <w:pStyle w:val="EndnoteText"/>
      </w:pPr>
      <w:r>
        <w:rPr>
          <w:rStyle w:val="EndnoteReference"/>
        </w:rPr>
        <w:endnoteRef/>
      </w:r>
      <w:r>
        <w:t xml:space="preserve"> </w:t>
      </w:r>
      <w:r w:rsidRPr="007921E2">
        <w:t xml:space="preserve">Daniel J. Soloved1, </w:t>
      </w:r>
      <w:r w:rsidRPr="007921E2">
        <w:rPr>
          <w:i/>
        </w:rPr>
        <w:t>Access And Aggregation: Public Records, Privacy And The Constitution</w:t>
      </w:r>
      <w:r>
        <w:t>, 86 Minn. L. Rev. 1137, 1177</w:t>
      </w:r>
      <w:r w:rsidRPr="007921E2">
        <w:t xml:space="preserve"> (2002).</w:t>
      </w:r>
    </w:p>
  </w:endnote>
  <w:endnote w:id="18">
    <w:p w:rsidR="00A1470F" w:rsidRDefault="00A1470F">
      <w:pPr>
        <w:pStyle w:val="EndnoteText"/>
      </w:pPr>
      <w:r>
        <w:rPr>
          <w:rStyle w:val="EndnoteReference"/>
        </w:rPr>
        <w:endnoteRef/>
      </w:r>
      <w:r>
        <w:t xml:space="preserve"> </w:t>
      </w:r>
      <w:proofErr w:type="gramStart"/>
      <w:r w:rsidRPr="00266036">
        <w:t xml:space="preserve">Peter W. Martin, </w:t>
      </w:r>
      <w:r w:rsidRPr="00266036">
        <w:rPr>
          <w:i/>
        </w:rPr>
        <w:t>Online Access to Court Records - From Documents to Data, Particulars to Patterns</w:t>
      </w:r>
      <w:r>
        <w:t xml:space="preserve">, </w:t>
      </w:r>
      <w:r w:rsidRPr="00266036">
        <w:t>(Cornell Legal Studies Research Paper No. 08-003, 2008)</w:t>
      </w:r>
      <w:r>
        <w:t xml:space="preserve"> at 2</w:t>
      </w:r>
      <w:r w:rsidRPr="00266036">
        <w:t xml:space="preserve">, available at </w:t>
      </w:r>
      <w:hyperlink r:id="rId1" w:history="1">
        <w:r w:rsidRPr="00FB13ED">
          <w:rPr>
            <w:rStyle w:val="Hyperlink"/>
          </w:rPr>
          <w:t>http://ssrn.com/abstract=1107412</w:t>
        </w:r>
      </w:hyperlink>
      <w:r>
        <w:t xml:space="preserve"> (last visited Mar. 23, 2011) [hereinafter Online Access to Court Records].</w:t>
      </w:r>
      <w:proofErr w:type="gramEnd"/>
    </w:p>
  </w:endnote>
  <w:endnote w:id="19">
    <w:p w:rsidR="00A1470F" w:rsidRDefault="00A1470F" w:rsidP="00477182">
      <w:pPr>
        <w:pStyle w:val="EndnoteText"/>
      </w:pPr>
      <w:r>
        <w:rPr>
          <w:rStyle w:val="EndnoteReference"/>
        </w:rPr>
        <w:endnoteRef/>
      </w:r>
      <w:r>
        <w:t xml:space="preserve"> </w:t>
      </w:r>
      <w:r w:rsidRPr="001930C2">
        <w:rPr>
          <w:i/>
        </w:rPr>
        <w:t>Id</w:t>
      </w:r>
      <w:r>
        <w:t>.</w:t>
      </w:r>
    </w:p>
  </w:endnote>
  <w:endnote w:id="20">
    <w:p w:rsidR="00A1470F" w:rsidRDefault="00A1470F">
      <w:pPr>
        <w:pStyle w:val="EndnoteText"/>
      </w:pPr>
      <w:r>
        <w:rPr>
          <w:rStyle w:val="EndnoteReference"/>
        </w:rPr>
        <w:endnoteRef/>
      </w:r>
      <w:r>
        <w:t xml:space="preserve"> </w:t>
      </w:r>
      <w:r w:rsidRPr="001930C2">
        <w:rPr>
          <w:i/>
        </w:rPr>
        <w:t>Id</w:t>
      </w:r>
      <w:r>
        <w:t>.</w:t>
      </w:r>
    </w:p>
  </w:endnote>
  <w:endnote w:id="21">
    <w:p w:rsidR="00A1470F" w:rsidRDefault="00A1470F" w:rsidP="00063D3F">
      <w:pPr>
        <w:pStyle w:val="EndnoteText"/>
      </w:pPr>
      <w:r>
        <w:rPr>
          <w:rStyle w:val="EndnoteReference"/>
        </w:rPr>
        <w:endnoteRef/>
      </w:r>
      <w:r>
        <w:t xml:space="preserve"> U.S. Trustee Program, Data Enabled Form Standard, available at: </w:t>
      </w:r>
      <w:hyperlink r:id="rId2" w:history="1">
        <w:r w:rsidRPr="00482A40">
          <w:rPr>
            <w:rStyle w:val="Hyperlink"/>
          </w:rPr>
          <w:t>http://www.usdoj.gov/ust/eo/bapcpa/defs/index.htm</w:t>
        </w:r>
      </w:hyperlink>
      <w:r>
        <w:t xml:space="preserve">. </w:t>
      </w:r>
    </w:p>
  </w:endnote>
  <w:endnote w:id="22">
    <w:p w:rsidR="00A1470F" w:rsidRDefault="00A1470F">
      <w:pPr>
        <w:pStyle w:val="EndnoteText"/>
      </w:pPr>
      <w:r>
        <w:rPr>
          <w:rStyle w:val="EndnoteReference"/>
        </w:rPr>
        <w:endnoteRef/>
      </w:r>
      <w:r>
        <w:t xml:space="preserve"> </w:t>
      </w:r>
      <w:r w:rsidRPr="00AB314D">
        <w:rPr>
          <w:i/>
        </w:rPr>
        <w:t>Id</w:t>
      </w:r>
      <w:r>
        <w:t>.</w:t>
      </w:r>
    </w:p>
  </w:endnote>
  <w:endnote w:id="23">
    <w:p w:rsidR="00A1470F" w:rsidRDefault="00A1470F">
      <w:pPr>
        <w:pStyle w:val="EndnoteText"/>
      </w:pPr>
      <w:r>
        <w:rPr>
          <w:rStyle w:val="EndnoteReference"/>
        </w:rPr>
        <w:endnoteRef/>
      </w:r>
      <w:r>
        <w:t xml:space="preserve"> Public Access to Court Electronic Records, Frequently Asked Questions: What Am I Charged for in CM/ECF</w:t>
      </w:r>
      <w:proofErr w:type="gramStart"/>
      <w:r>
        <w:t>?,</w:t>
      </w:r>
      <w:proofErr w:type="gramEnd"/>
      <w:r>
        <w:t xml:space="preserve"> available at: </w:t>
      </w:r>
      <w:hyperlink r:id="rId3" w:anchor="CMECF" w:history="1">
        <w:r w:rsidRPr="00A0426D">
          <w:rPr>
            <w:rStyle w:val="Hyperlink"/>
          </w:rPr>
          <w:t>http://www.pacer.gov/psc/efaq.html#CMECF</w:t>
        </w:r>
      </w:hyperlink>
      <w:r>
        <w:t xml:space="preserve">, (last visited Apr. 6, 2011) [hereinafter CM/ECF Charges]. </w:t>
      </w:r>
    </w:p>
  </w:endnote>
  <w:endnote w:id="24">
    <w:p w:rsidR="00A1470F" w:rsidRDefault="00A1470F" w:rsidP="004D77D1">
      <w:pPr>
        <w:pStyle w:val="EndnoteText"/>
      </w:pPr>
      <w:r>
        <w:rPr>
          <w:rStyle w:val="EndnoteReference"/>
        </w:rPr>
        <w:endnoteRef/>
      </w:r>
      <w:r>
        <w:t xml:space="preserve"> </w:t>
      </w:r>
      <w:proofErr w:type="gramStart"/>
      <w:r>
        <w:t xml:space="preserve">RECAP website, </w:t>
      </w:r>
      <w:r w:rsidRPr="00362816">
        <w:rPr>
          <w:i/>
        </w:rPr>
        <w:t>Why It Matters?</w:t>
      </w:r>
      <w:r>
        <w:rPr>
          <w:i/>
        </w:rPr>
        <w:t>,</w:t>
      </w:r>
      <w:r>
        <w:t xml:space="preserve"> available at </w:t>
      </w:r>
      <w:hyperlink r:id="rId4" w:history="1">
        <w:r w:rsidRPr="00FB13ED">
          <w:rPr>
            <w:rStyle w:val="Hyperlink"/>
          </w:rPr>
          <w:t>https://www.recapthelaw.org/why-it-matters/</w:t>
        </w:r>
      </w:hyperlink>
      <w:r>
        <w:t xml:space="preserve"> (last visited Mar. 23, 2011).</w:t>
      </w:r>
      <w:proofErr w:type="gramEnd"/>
    </w:p>
  </w:endnote>
  <w:endnote w:id="25">
    <w:p w:rsidR="00A1470F" w:rsidRDefault="00A1470F">
      <w:pPr>
        <w:pStyle w:val="EndnoteText"/>
      </w:pPr>
      <w:r>
        <w:rPr>
          <w:rStyle w:val="EndnoteReference"/>
        </w:rPr>
        <w:endnoteRef/>
      </w:r>
      <w:r>
        <w:t xml:space="preserve"> </w:t>
      </w:r>
      <w:r w:rsidRPr="00736D1C">
        <w:rPr>
          <w:i/>
        </w:rPr>
        <w:t>Id</w:t>
      </w:r>
      <w:r>
        <w:t>.</w:t>
      </w:r>
    </w:p>
  </w:endnote>
  <w:endnote w:id="26">
    <w:p w:rsidR="00A1470F" w:rsidRDefault="00A1470F">
      <w:pPr>
        <w:pStyle w:val="EndnoteText"/>
      </w:pPr>
      <w:r>
        <w:rPr>
          <w:rStyle w:val="EndnoteReference"/>
        </w:rPr>
        <w:endnoteRef/>
      </w:r>
      <w:r>
        <w:t xml:space="preserve"> </w:t>
      </w:r>
      <w:r w:rsidRPr="00736D1C">
        <w:rPr>
          <w:i/>
        </w:rPr>
        <w:t>Id</w:t>
      </w:r>
      <w:r>
        <w:t>.</w:t>
      </w:r>
    </w:p>
  </w:endnote>
  <w:endnote w:id="27">
    <w:p w:rsidR="00A1470F" w:rsidRDefault="00A1470F">
      <w:pPr>
        <w:pStyle w:val="EndnoteText"/>
      </w:pPr>
      <w:r>
        <w:rPr>
          <w:rStyle w:val="EndnoteReference"/>
        </w:rPr>
        <w:endnoteRef/>
      </w:r>
      <w:r>
        <w:t xml:space="preserve"> </w:t>
      </w:r>
      <w:r w:rsidRPr="00736D1C">
        <w:rPr>
          <w:i/>
        </w:rPr>
        <w:t>Online Access to Court Records</w:t>
      </w:r>
      <w:r>
        <w:t xml:space="preserve"> at 8-10.</w:t>
      </w:r>
    </w:p>
  </w:endnote>
  <w:endnote w:id="28">
    <w:p w:rsidR="00A1470F" w:rsidRDefault="00A1470F" w:rsidP="004D77D1">
      <w:pPr>
        <w:pStyle w:val="EndnoteText"/>
      </w:pPr>
      <w:r>
        <w:rPr>
          <w:rStyle w:val="EndnoteReference"/>
        </w:rPr>
        <w:endnoteRef/>
      </w:r>
      <w:r>
        <w:t xml:space="preserve"> </w:t>
      </w:r>
      <w:r w:rsidRPr="00736D1C">
        <w:rPr>
          <w:i/>
        </w:rPr>
        <w:t>Id</w:t>
      </w:r>
      <w:r>
        <w:t>.</w:t>
      </w:r>
    </w:p>
  </w:endnote>
  <w:endnote w:id="29">
    <w:p w:rsidR="00A1470F" w:rsidRDefault="00A1470F" w:rsidP="004D77D1">
      <w:pPr>
        <w:pStyle w:val="EndnoteText"/>
      </w:pPr>
      <w:r>
        <w:rPr>
          <w:rStyle w:val="EndnoteReference"/>
        </w:rPr>
        <w:endnoteRef/>
      </w:r>
      <w:r>
        <w:t xml:space="preserve"> </w:t>
      </w:r>
      <w:r w:rsidRPr="00736D1C">
        <w:rPr>
          <w:i/>
        </w:rPr>
        <w:t>Id</w:t>
      </w:r>
      <w:r>
        <w:t>.</w:t>
      </w:r>
    </w:p>
  </w:endnote>
  <w:endnote w:id="30">
    <w:p w:rsidR="00A1470F" w:rsidRDefault="00A1470F" w:rsidP="00FC5911">
      <w:pPr>
        <w:pStyle w:val="EndnoteText"/>
      </w:pPr>
      <w:r>
        <w:rPr>
          <w:rStyle w:val="EndnoteReference"/>
        </w:rPr>
        <w:endnoteRef/>
      </w:r>
      <w:r>
        <w:t xml:space="preserve"> </w:t>
      </w:r>
      <w:r w:rsidRPr="00736D1C">
        <w:rPr>
          <w:i/>
        </w:rPr>
        <w:t>Id</w:t>
      </w:r>
      <w:r>
        <w:t>.</w:t>
      </w:r>
    </w:p>
  </w:endnote>
  <w:endnote w:id="31">
    <w:p w:rsidR="00A1470F" w:rsidRDefault="00A1470F">
      <w:pPr>
        <w:pStyle w:val="EndnoteText"/>
      </w:pPr>
      <w:r>
        <w:rPr>
          <w:rStyle w:val="EndnoteReference"/>
        </w:rPr>
        <w:endnoteRef/>
      </w:r>
      <w:r>
        <w:t xml:space="preserve"> </w:t>
      </w:r>
      <w:proofErr w:type="gramStart"/>
      <w:r w:rsidRPr="00736D1C">
        <w:rPr>
          <w:i/>
        </w:rPr>
        <w:t>Id</w:t>
      </w:r>
      <w:r>
        <w:t xml:space="preserve"> at 18.</w:t>
      </w:r>
      <w:proofErr w:type="gramEnd"/>
    </w:p>
  </w:endnote>
  <w:endnote w:id="32">
    <w:p w:rsidR="00A1470F" w:rsidRDefault="00A1470F">
      <w:pPr>
        <w:pStyle w:val="EndnoteText"/>
      </w:pPr>
      <w:r>
        <w:rPr>
          <w:rStyle w:val="EndnoteReference"/>
        </w:rPr>
        <w:endnoteRef/>
      </w:r>
      <w:r>
        <w:t xml:space="preserve"> </w:t>
      </w:r>
      <w:r w:rsidRPr="000141EA">
        <w:rPr>
          <w:i/>
        </w:rPr>
        <w:t>Id</w:t>
      </w:r>
      <w:r>
        <w:t>.</w:t>
      </w:r>
    </w:p>
  </w:endnote>
  <w:endnote w:id="33">
    <w:p w:rsidR="00A1470F" w:rsidRDefault="00A1470F" w:rsidP="00747323">
      <w:pPr>
        <w:pStyle w:val="EndnoteText"/>
      </w:pPr>
      <w:r>
        <w:rPr>
          <w:rStyle w:val="EndnoteReference"/>
        </w:rPr>
        <w:endnoteRef/>
      </w:r>
      <w:r>
        <w:t xml:space="preserve"> </w:t>
      </w:r>
      <w:r w:rsidRPr="000141EA">
        <w:rPr>
          <w:i/>
        </w:rPr>
        <w:t>Id</w:t>
      </w:r>
      <w:r>
        <w:t>.</w:t>
      </w:r>
    </w:p>
  </w:endnote>
  <w:endnote w:id="34">
    <w:p w:rsidR="00A1470F" w:rsidRDefault="00A1470F">
      <w:pPr>
        <w:pStyle w:val="EndnoteText"/>
      </w:pPr>
      <w:r>
        <w:rPr>
          <w:rStyle w:val="EndnoteReference"/>
        </w:rPr>
        <w:endnoteRef/>
      </w:r>
      <w:r>
        <w:t xml:space="preserve"> </w:t>
      </w:r>
      <w:r w:rsidRPr="000141EA">
        <w:rPr>
          <w:i/>
        </w:rPr>
        <w:t>Id</w:t>
      </w:r>
      <w:r>
        <w:t>.</w:t>
      </w:r>
    </w:p>
  </w:endnote>
  <w:endnote w:id="35">
    <w:p w:rsidR="00A1470F" w:rsidRDefault="00A1470F">
      <w:pPr>
        <w:pStyle w:val="EndnoteText"/>
      </w:pPr>
      <w:r>
        <w:rPr>
          <w:rStyle w:val="EndnoteReference"/>
        </w:rPr>
        <w:endnoteRef/>
      </w:r>
      <w:r>
        <w:t xml:space="preserve"> </w:t>
      </w:r>
      <w:r w:rsidRPr="000141EA">
        <w:rPr>
          <w:i/>
        </w:rPr>
        <w:t>Id</w:t>
      </w:r>
      <w:r>
        <w:t>.</w:t>
      </w:r>
    </w:p>
  </w:endnote>
  <w:endnote w:id="36">
    <w:p w:rsidR="00A1470F" w:rsidRDefault="00A1470F">
      <w:pPr>
        <w:pStyle w:val="EndnoteText"/>
      </w:pPr>
      <w:r>
        <w:rPr>
          <w:rStyle w:val="EndnoteReference"/>
        </w:rPr>
        <w:endnoteRef/>
      </w:r>
      <w:r>
        <w:t xml:space="preserve"> </w:t>
      </w:r>
      <w:proofErr w:type="gramStart"/>
      <w:r w:rsidRPr="000141EA">
        <w:rPr>
          <w:i/>
        </w:rPr>
        <w:t>Id</w:t>
      </w:r>
      <w:r>
        <w:t xml:space="preserve"> at 20.</w:t>
      </w:r>
      <w:proofErr w:type="gramEnd"/>
    </w:p>
  </w:endnote>
  <w:endnote w:id="37">
    <w:p w:rsidR="00A1470F" w:rsidRDefault="00A1470F">
      <w:pPr>
        <w:pStyle w:val="EndnoteText"/>
      </w:pPr>
      <w:r>
        <w:rPr>
          <w:rStyle w:val="EndnoteReference"/>
        </w:rPr>
        <w:endnoteRef/>
      </w:r>
      <w:r>
        <w:t xml:space="preserve"> </w:t>
      </w:r>
      <w:r w:rsidRPr="000141EA">
        <w:rPr>
          <w:i/>
        </w:rPr>
        <w:t>Id</w:t>
      </w:r>
      <w:r>
        <w:t>.</w:t>
      </w:r>
    </w:p>
  </w:endnote>
  <w:endnote w:id="38">
    <w:p w:rsidR="00A1470F" w:rsidRDefault="00A1470F" w:rsidP="00D034A3">
      <w:pPr>
        <w:pStyle w:val="EndnoteText"/>
      </w:pPr>
      <w:r>
        <w:rPr>
          <w:rStyle w:val="EndnoteReference"/>
        </w:rPr>
        <w:endnoteRef/>
      </w:r>
      <w:r>
        <w:t xml:space="preserve"> </w:t>
      </w:r>
      <w:r w:rsidRPr="000141EA">
        <w:rPr>
          <w:i/>
        </w:rPr>
        <w:t>Id</w:t>
      </w:r>
      <w:r>
        <w:t>.</w:t>
      </w:r>
    </w:p>
  </w:endnote>
  <w:endnote w:id="39">
    <w:p w:rsidR="00A1470F" w:rsidRDefault="00A1470F" w:rsidP="00D034A3">
      <w:pPr>
        <w:pStyle w:val="EndnoteText"/>
      </w:pPr>
      <w:r>
        <w:rPr>
          <w:rStyle w:val="EndnoteReference"/>
        </w:rPr>
        <w:endnoteRef/>
      </w:r>
      <w:r>
        <w:t xml:space="preserve"> </w:t>
      </w:r>
      <w:r w:rsidRPr="000141EA">
        <w:rPr>
          <w:i/>
        </w:rPr>
        <w:t>Id</w:t>
      </w:r>
      <w:r>
        <w:t>.</w:t>
      </w:r>
    </w:p>
  </w:endnote>
  <w:endnote w:id="40">
    <w:p w:rsidR="00A1470F" w:rsidRDefault="00A1470F" w:rsidP="00D14941">
      <w:pPr>
        <w:pStyle w:val="EndnoteText"/>
      </w:pPr>
      <w:r>
        <w:rPr>
          <w:rStyle w:val="EndnoteReference"/>
        </w:rPr>
        <w:endnoteRef/>
      </w:r>
      <w:r>
        <w:t xml:space="preserve"> </w:t>
      </w:r>
      <w:proofErr w:type="gramStart"/>
      <w:r w:rsidRPr="000141EA">
        <w:rPr>
          <w:i/>
        </w:rPr>
        <w:t>Id</w:t>
      </w:r>
      <w:r>
        <w:t xml:space="preserve"> at 21.</w:t>
      </w:r>
      <w:proofErr w:type="gramEnd"/>
    </w:p>
  </w:endnote>
  <w:endnote w:id="41">
    <w:p w:rsidR="00A1470F" w:rsidRDefault="00A1470F">
      <w:pPr>
        <w:pStyle w:val="EndnoteText"/>
      </w:pPr>
      <w:r>
        <w:rPr>
          <w:rStyle w:val="EndnoteReference"/>
        </w:rPr>
        <w:endnoteRef/>
      </w:r>
      <w:r>
        <w:t xml:space="preserve"> </w:t>
      </w:r>
      <w:proofErr w:type="gramStart"/>
      <w:r w:rsidRPr="000141EA">
        <w:t>Colorado Integrated Criminal Justice Information System</w:t>
      </w:r>
      <w:r>
        <w:t xml:space="preserve"> website, </w:t>
      </w:r>
      <w:r>
        <w:rPr>
          <w:i/>
        </w:rPr>
        <w:t>Welcome Page,</w:t>
      </w:r>
      <w:r>
        <w:t xml:space="preserve"> available at </w:t>
      </w:r>
      <w:hyperlink r:id="rId5" w:history="1">
        <w:r w:rsidRPr="00482A40">
          <w:rPr>
            <w:rStyle w:val="Hyperlink"/>
          </w:rPr>
          <w:t>http://www.colorado.gov/cs/Satellite/CICJIS/CIC/1184685280209</w:t>
        </w:r>
      </w:hyperlink>
      <w:r>
        <w:t>, (last visited Mar. 23, 2011).</w:t>
      </w:r>
      <w:proofErr w:type="gramEnd"/>
      <w:r>
        <w:t xml:space="preserve"> </w:t>
      </w:r>
    </w:p>
  </w:endnote>
  <w:endnote w:id="42">
    <w:p w:rsidR="00A1470F" w:rsidRDefault="00A1470F">
      <w:pPr>
        <w:pStyle w:val="EndnoteText"/>
      </w:pPr>
      <w:r>
        <w:rPr>
          <w:rStyle w:val="EndnoteReference"/>
        </w:rPr>
        <w:endnoteRef/>
      </w:r>
      <w:r>
        <w:t xml:space="preserve"> </w:t>
      </w:r>
      <w:r w:rsidRPr="000141EA">
        <w:t>Colorado Integrated Criminal Justice Information System</w:t>
      </w:r>
      <w:r>
        <w:t xml:space="preserve"> website, </w:t>
      </w:r>
      <w:r w:rsidRPr="00025035">
        <w:rPr>
          <w:i/>
        </w:rPr>
        <w:t>Connecting to CICJIS</w:t>
      </w:r>
      <w:r w:rsidRPr="00025035">
        <w:t>,</w:t>
      </w:r>
      <w:r>
        <w:t xml:space="preserve"> available at </w:t>
      </w:r>
      <w:hyperlink r:id="rId6" w:history="1">
        <w:r w:rsidRPr="00482A40">
          <w:rPr>
            <w:rStyle w:val="Hyperlink"/>
          </w:rPr>
          <w:t>http://www.colorado.gov/cs/Satellite/CICJIS/CIC/1187685227971</w:t>
        </w:r>
      </w:hyperlink>
      <w:r>
        <w:t xml:space="preserve">, (last visited Apr, 6, 2011) [hereinafter Connecting to CICJIS]. </w:t>
      </w:r>
    </w:p>
  </w:endnote>
  <w:endnote w:id="43">
    <w:p w:rsidR="00A1470F" w:rsidRDefault="00A1470F">
      <w:pPr>
        <w:pStyle w:val="EndnoteText"/>
      </w:pPr>
      <w:r>
        <w:rPr>
          <w:rStyle w:val="EndnoteReference"/>
        </w:rPr>
        <w:endnoteRef/>
      </w:r>
      <w:r>
        <w:t xml:space="preserve"> </w:t>
      </w:r>
      <w:proofErr w:type="gramStart"/>
      <w:r w:rsidRPr="000141EA">
        <w:t>Colorado Integrated Criminal Justice Information System</w:t>
      </w:r>
      <w:r>
        <w:t xml:space="preserve"> website, </w:t>
      </w:r>
      <w:r w:rsidRPr="00025035">
        <w:rPr>
          <w:i/>
        </w:rPr>
        <w:t>Cooperating Agencies</w:t>
      </w:r>
      <w:r>
        <w:rPr>
          <w:i/>
        </w:rPr>
        <w:t>,</w:t>
      </w:r>
      <w:r>
        <w:t xml:space="preserve"> available at </w:t>
      </w:r>
      <w:hyperlink r:id="rId7" w:history="1">
        <w:r w:rsidRPr="007C2114">
          <w:rPr>
            <w:rStyle w:val="Hyperlink"/>
          </w:rPr>
          <w:t>http://www.colorado.gov/cs/Satellite/CICJIS/CIC/1184685280254</w:t>
        </w:r>
      </w:hyperlink>
      <w:r>
        <w:t>, (last visited Mar. 23, 2011).</w:t>
      </w:r>
      <w:proofErr w:type="gramEnd"/>
      <w:r>
        <w:t xml:space="preserve"> </w:t>
      </w:r>
    </w:p>
  </w:endnote>
  <w:endnote w:id="44">
    <w:p w:rsidR="00A1470F" w:rsidRDefault="00A1470F">
      <w:pPr>
        <w:pStyle w:val="EndnoteText"/>
      </w:pPr>
      <w:r>
        <w:rPr>
          <w:rStyle w:val="EndnoteReference"/>
        </w:rPr>
        <w:endnoteRef/>
      </w:r>
      <w:r>
        <w:t xml:space="preserve"> </w:t>
      </w:r>
      <w:proofErr w:type="gramStart"/>
      <w:r>
        <w:t>Connecting to CICJIS.</w:t>
      </w:r>
      <w:proofErr w:type="gramEnd"/>
    </w:p>
  </w:endnote>
  <w:endnote w:id="45">
    <w:p w:rsidR="00A1470F" w:rsidRDefault="00A1470F" w:rsidP="00B23CA3">
      <w:pPr>
        <w:pStyle w:val="EndnoteText"/>
      </w:pPr>
      <w:r>
        <w:rPr>
          <w:rStyle w:val="EndnoteReference"/>
        </w:rPr>
        <w:endnoteRef/>
      </w:r>
      <w:r>
        <w:t xml:space="preserve"> Colorado State Courts – Data Access website, </w:t>
      </w:r>
      <w:r w:rsidRPr="00025035">
        <w:rPr>
          <w:i/>
        </w:rPr>
        <w:t>Login page</w:t>
      </w:r>
      <w:r>
        <w:t xml:space="preserve">, available at </w:t>
      </w:r>
      <w:hyperlink r:id="rId8" w:history="1">
        <w:r w:rsidRPr="007C2114">
          <w:rPr>
            <w:rStyle w:val="Hyperlink"/>
          </w:rPr>
          <w:t>https://www.jbits.courts.state.co.us/pas/pubaccess/</w:t>
        </w:r>
      </w:hyperlink>
      <w:r>
        <w:t xml:space="preserve">, (last visited Apr. 6, 2011) </w:t>
      </w:r>
    </w:p>
  </w:endnote>
  <w:endnote w:id="46">
    <w:p w:rsidR="00A1470F" w:rsidRDefault="00A1470F" w:rsidP="00511BAE">
      <w:pPr>
        <w:pStyle w:val="EndnoteText"/>
      </w:pPr>
      <w:r>
        <w:rPr>
          <w:rStyle w:val="EndnoteReference"/>
        </w:rPr>
        <w:endnoteRef/>
      </w:r>
      <w:r>
        <w:t xml:space="preserve"> Colorado Courts website, </w:t>
      </w:r>
      <w:r w:rsidRPr="00444AB7">
        <w:rPr>
          <w:i/>
        </w:rPr>
        <w:t>What is COCOURTS.com</w:t>
      </w:r>
      <w:proofErr w:type="gramStart"/>
      <w:r>
        <w:t>?,</w:t>
      </w:r>
      <w:proofErr w:type="gramEnd"/>
      <w:r>
        <w:t xml:space="preserve"> available at </w:t>
      </w:r>
      <w:hyperlink r:id="rId9" w:history="1">
        <w:r w:rsidRPr="007C2114">
          <w:rPr>
            <w:rStyle w:val="Hyperlink"/>
          </w:rPr>
          <w:t>https://www.cocourts.com/</w:t>
        </w:r>
      </w:hyperlink>
      <w:r>
        <w:t xml:space="preserve">, (last visited Apr 6, 2011). </w:t>
      </w:r>
    </w:p>
  </w:endnote>
  <w:endnote w:id="47">
    <w:p w:rsidR="00A1470F" w:rsidRDefault="00A1470F" w:rsidP="00843B79">
      <w:pPr>
        <w:pStyle w:val="EndnoteText"/>
      </w:pPr>
      <w:r>
        <w:rPr>
          <w:rStyle w:val="EndnoteReference"/>
        </w:rPr>
        <w:endnoteRef/>
      </w:r>
      <w:r>
        <w:t xml:space="preserve"> </w:t>
      </w:r>
      <w:proofErr w:type="gramStart"/>
      <w:r w:rsidRPr="00444AB7">
        <w:rPr>
          <w:i/>
        </w:rPr>
        <w:t>Id</w:t>
      </w:r>
      <w:r>
        <w:t xml:space="preserve"> at 1173</w:t>
      </w:r>
      <w:r w:rsidRPr="007921E2">
        <w:t>.</w:t>
      </w:r>
      <w:proofErr w:type="gramEnd"/>
    </w:p>
  </w:endnote>
  <w:endnote w:id="48">
    <w:p w:rsidR="00A1470F" w:rsidRDefault="00A1470F">
      <w:pPr>
        <w:pStyle w:val="EndnoteText"/>
      </w:pPr>
      <w:r>
        <w:rPr>
          <w:rStyle w:val="EndnoteReference"/>
        </w:rPr>
        <w:endnoteRef/>
      </w:r>
      <w:r>
        <w:t xml:space="preserve"> </w:t>
      </w:r>
      <w:proofErr w:type="gramStart"/>
      <w:r w:rsidRPr="00DE4C10">
        <w:t xml:space="preserve">Lynn M. </w:t>
      </w:r>
      <w:proofErr w:type="spellStart"/>
      <w:r w:rsidRPr="00DE4C10">
        <w:t>LoPucki</w:t>
      </w:r>
      <w:proofErr w:type="spellEnd"/>
      <w:r w:rsidRPr="007921E2">
        <w:t xml:space="preserve">, </w:t>
      </w:r>
      <w:r w:rsidRPr="00DE4C10">
        <w:rPr>
          <w:i/>
        </w:rPr>
        <w:t>Court-System Transparency</w:t>
      </w:r>
      <w:r w:rsidRPr="007921E2">
        <w:t xml:space="preserve">, </w:t>
      </w:r>
      <w:r w:rsidRPr="00DE4C10">
        <w:t>94 Iowa L. Rev. 481</w:t>
      </w:r>
      <w:r>
        <w:t xml:space="preserve"> (2009</w:t>
      </w:r>
      <w:r w:rsidRPr="007921E2">
        <w:t>).</w:t>
      </w:r>
      <w:proofErr w:type="gramEnd"/>
    </w:p>
  </w:endnote>
  <w:endnote w:id="49">
    <w:p w:rsidR="00A1470F" w:rsidRDefault="00A1470F">
      <w:pPr>
        <w:pStyle w:val="EndnoteText"/>
      </w:pPr>
      <w:r>
        <w:rPr>
          <w:rStyle w:val="EndnoteReference"/>
        </w:rPr>
        <w:endnoteRef/>
      </w:r>
      <w:r>
        <w:t xml:space="preserve"> </w:t>
      </w:r>
      <w:proofErr w:type="gramStart"/>
      <w:r w:rsidRPr="00DE4C10">
        <w:rPr>
          <w:i/>
        </w:rPr>
        <w:t>Id</w:t>
      </w:r>
      <w:r>
        <w:t xml:space="preserve"> at 494.</w:t>
      </w:r>
      <w:proofErr w:type="gramEnd"/>
    </w:p>
  </w:endnote>
  <w:endnote w:id="50">
    <w:p w:rsidR="00A1470F" w:rsidRDefault="00A1470F" w:rsidP="00AD2F8A">
      <w:pPr>
        <w:pStyle w:val="EndnoteText"/>
      </w:pPr>
      <w:r>
        <w:rPr>
          <w:rStyle w:val="EndnoteReference"/>
        </w:rPr>
        <w:endnoteRef/>
      </w:r>
      <w:r>
        <w:t xml:space="preserve"> </w:t>
      </w:r>
      <w:r w:rsidRPr="00DE4C10">
        <w:rPr>
          <w:i/>
        </w:rPr>
        <w:t>Id</w:t>
      </w:r>
      <w:r>
        <w:t>.</w:t>
      </w:r>
    </w:p>
  </w:endnote>
  <w:endnote w:id="51">
    <w:p w:rsidR="00A1470F" w:rsidRDefault="00A1470F">
      <w:pPr>
        <w:pStyle w:val="EndnoteText"/>
      </w:pPr>
      <w:r>
        <w:rPr>
          <w:rStyle w:val="EndnoteReference"/>
        </w:rPr>
        <w:endnoteRef/>
      </w:r>
      <w:r>
        <w:t xml:space="preserve"> </w:t>
      </w:r>
      <w:proofErr w:type="gramStart"/>
      <w:r w:rsidRPr="00DE4C10">
        <w:rPr>
          <w:i/>
        </w:rPr>
        <w:t>Id</w:t>
      </w:r>
      <w:r>
        <w:t xml:space="preserve"> at 496.</w:t>
      </w:r>
      <w:proofErr w:type="gramEnd"/>
    </w:p>
  </w:endnote>
  <w:endnote w:id="52">
    <w:p w:rsidR="00A1470F" w:rsidRDefault="00A1470F">
      <w:pPr>
        <w:pStyle w:val="EndnoteText"/>
      </w:pPr>
      <w:r>
        <w:rPr>
          <w:rStyle w:val="EndnoteReference"/>
        </w:rPr>
        <w:endnoteRef/>
      </w:r>
      <w:r>
        <w:t xml:space="preserve"> </w:t>
      </w:r>
      <w:proofErr w:type="gramStart"/>
      <w:r w:rsidRPr="00334BA9">
        <w:rPr>
          <w:i/>
        </w:rPr>
        <w:t>Id</w:t>
      </w:r>
      <w:r>
        <w:t xml:space="preserve"> at 497.</w:t>
      </w:r>
      <w:proofErr w:type="gramEnd"/>
    </w:p>
  </w:endnote>
  <w:endnote w:id="53">
    <w:p w:rsidR="00A1470F" w:rsidRDefault="00A1470F">
      <w:pPr>
        <w:pStyle w:val="EndnoteText"/>
      </w:pPr>
      <w:r>
        <w:rPr>
          <w:rStyle w:val="EndnoteReference"/>
        </w:rPr>
        <w:endnoteRef/>
      </w:r>
      <w:r>
        <w:t xml:space="preserve"> </w:t>
      </w:r>
      <w:r w:rsidRPr="00334BA9">
        <w:rPr>
          <w:i/>
        </w:rPr>
        <w:t>Id</w:t>
      </w:r>
      <w:r>
        <w:t>.</w:t>
      </w:r>
    </w:p>
  </w:endnote>
  <w:endnote w:id="54">
    <w:p w:rsidR="00A1470F" w:rsidRDefault="00A1470F">
      <w:pPr>
        <w:pStyle w:val="EndnoteText"/>
      </w:pPr>
      <w:r>
        <w:rPr>
          <w:rStyle w:val="EndnoteReference"/>
        </w:rPr>
        <w:endnoteRef/>
      </w:r>
      <w:r>
        <w:t xml:space="preserve"> </w:t>
      </w:r>
      <w:r w:rsidRPr="00334BA9">
        <w:rPr>
          <w:i/>
        </w:rPr>
        <w:t>Id</w:t>
      </w:r>
      <w:r>
        <w:t>.</w:t>
      </w:r>
    </w:p>
  </w:endnote>
  <w:endnote w:id="55">
    <w:p w:rsidR="00A1470F" w:rsidRDefault="00A1470F">
      <w:pPr>
        <w:pStyle w:val="EndnoteText"/>
      </w:pPr>
      <w:r>
        <w:rPr>
          <w:rStyle w:val="EndnoteReference"/>
        </w:rPr>
        <w:endnoteRef/>
      </w:r>
      <w:r>
        <w:t xml:space="preserve"> </w:t>
      </w:r>
      <w:r w:rsidRPr="00334BA9">
        <w:rPr>
          <w:i/>
        </w:rPr>
        <w:t>Id</w:t>
      </w:r>
      <w:r>
        <w:t>.</w:t>
      </w:r>
    </w:p>
  </w:endnote>
  <w:endnote w:id="56">
    <w:p w:rsidR="00A1470F" w:rsidRDefault="00A1470F">
      <w:pPr>
        <w:pStyle w:val="EndnoteText"/>
      </w:pPr>
      <w:r>
        <w:rPr>
          <w:rStyle w:val="EndnoteReference"/>
        </w:rPr>
        <w:endnoteRef/>
      </w:r>
      <w:r>
        <w:t xml:space="preserve"> </w:t>
      </w:r>
      <w:proofErr w:type="gramStart"/>
      <w:r w:rsidRPr="00334BA9">
        <w:rPr>
          <w:i/>
        </w:rPr>
        <w:t>Id</w:t>
      </w:r>
      <w:r>
        <w:t xml:space="preserve"> at 498.</w:t>
      </w:r>
      <w:proofErr w:type="gramEnd"/>
    </w:p>
  </w:endnote>
  <w:endnote w:id="57">
    <w:p w:rsidR="00A1470F" w:rsidRDefault="00A1470F">
      <w:pPr>
        <w:pStyle w:val="EndnoteText"/>
      </w:pPr>
      <w:r>
        <w:rPr>
          <w:rStyle w:val="EndnoteReference"/>
        </w:rPr>
        <w:endnoteRef/>
      </w:r>
      <w:r>
        <w:t xml:space="preserve"> </w:t>
      </w:r>
      <w:r w:rsidRPr="00E5562D">
        <w:rPr>
          <w:i/>
        </w:rPr>
        <w:t>Id</w:t>
      </w:r>
      <w:r>
        <w:t>.</w:t>
      </w:r>
    </w:p>
  </w:endnote>
  <w:endnote w:id="58">
    <w:p w:rsidR="00A1470F" w:rsidRDefault="00A1470F">
      <w:pPr>
        <w:pStyle w:val="EndnoteText"/>
      </w:pPr>
      <w:r>
        <w:rPr>
          <w:rStyle w:val="EndnoteReference"/>
        </w:rPr>
        <w:endnoteRef/>
      </w:r>
      <w:r>
        <w:t xml:space="preserve"> </w:t>
      </w:r>
      <w:r w:rsidRPr="00E5562D">
        <w:rPr>
          <w:i/>
        </w:rPr>
        <w:t>Id</w:t>
      </w:r>
      <w:r>
        <w:t>.</w:t>
      </w:r>
    </w:p>
  </w:endnote>
  <w:endnote w:id="59">
    <w:p w:rsidR="00A1470F" w:rsidRDefault="00A1470F">
      <w:pPr>
        <w:pStyle w:val="EndnoteText"/>
      </w:pPr>
      <w:r>
        <w:rPr>
          <w:rStyle w:val="EndnoteReference"/>
        </w:rPr>
        <w:endnoteRef/>
      </w:r>
      <w:r>
        <w:t xml:space="preserve"> </w:t>
      </w:r>
      <w:r w:rsidRPr="00E5562D">
        <w:rPr>
          <w:i/>
        </w:rPr>
        <w:t>Id</w:t>
      </w:r>
      <w:r>
        <w:t>.</w:t>
      </w:r>
    </w:p>
  </w:endnote>
  <w:endnote w:id="60">
    <w:p w:rsidR="00A1470F" w:rsidRDefault="00A1470F">
      <w:pPr>
        <w:pStyle w:val="EndnoteText"/>
      </w:pPr>
      <w:r>
        <w:rPr>
          <w:rStyle w:val="EndnoteReference"/>
        </w:rPr>
        <w:endnoteRef/>
      </w:r>
      <w:r>
        <w:t xml:space="preserve"> </w:t>
      </w:r>
      <w:r w:rsidRPr="00E5562D">
        <w:rPr>
          <w:i/>
        </w:rPr>
        <w:t>Id</w:t>
      </w:r>
      <w:r>
        <w:t>.</w:t>
      </w:r>
    </w:p>
  </w:endnote>
  <w:endnote w:id="61">
    <w:p w:rsidR="00A1470F" w:rsidRDefault="00A1470F">
      <w:pPr>
        <w:pStyle w:val="EndnoteText"/>
      </w:pPr>
      <w:r>
        <w:rPr>
          <w:rStyle w:val="EndnoteReference"/>
        </w:rPr>
        <w:endnoteRef/>
      </w:r>
      <w:r>
        <w:t xml:space="preserve"> </w:t>
      </w:r>
      <w:r w:rsidRPr="00E5562D">
        <w:rPr>
          <w:i/>
        </w:rPr>
        <w:t>Id</w:t>
      </w:r>
      <w:r>
        <w:t>.</w:t>
      </w:r>
    </w:p>
  </w:endnote>
  <w:endnote w:id="62">
    <w:p w:rsidR="00A1470F" w:rsidRDefault="00A1470F">
      <w:pPr>
        <w:pStyle w:val="EndnoteText"/>
      </w:pPr>
      <w:r>
        <w:rPr>
          <w:rStyle w:val="EndnoteReference"/>
        </w:rPr>
        <w:endnoteRef/>
      </w:r>
      <w:r>
        <w:t xml:space="preserve"> </w:t>
      </w:r>
      <w:r w:rsidRPr="00E86A1D">
        <w:rPr>
          <w:i/>
        </w:rPr>
        <w:t>Id</w:t>
      </w:r>
      <w:r>
        <w:t>.</w:t>
      </w:r>
    </w:p>
  </w:endnote>
  <w:endnote w:id="63">
    <w:p w:rsidR="00A1470F" w:rsidRDefault="00A1470F">
      <w:pPr>
        <w:pStyle w:val="EndnoteText"/>
      </w:pPr>
      <w:r>
        <w:rPr>
          <w:rStyle w:val="EndnoteReference"/>
        </w:rPr>
        <w:endnoteRef/>
      </w:r>
      <w:r>
        <w:t xml:space="preserve"> </w:t>
      </w:r>
      <w:r w:rsidRPr="00DE4C10">
        <w:rPr>
          <w:i/>
        </w:rPr>
        <w:t>Id</w:t>
      </w:r>
      <w:r>
        <w:t>.</w:t>
      </w:r>
    </w:p>
  </w:endnote>
  <w:endnote w:id="64">
    <w:p w:rsidR="00A1470F" w:rsidRDefault="00A1470F">
      <w:pPr>
        <w:pStyle w:val="EndnoteText"/>
      </w:pPr>
      <w:r>
        <w:rPr>
          <w:rStyle w:val="EndnoteReference"/>
        </w:rPr>
        <w:endnoteRef/>
      </w:r>
      <w:r>
        <w:t xml:space="preserve"> </w:t>
      </w:r>
      <w:r w:rsidRPr="00DE4C10">
        <w:rPr>
          <w:i/>
        </w:rPr>
        <w:t>Id</w:t>
      </w:r>
      <w:r>
        <w:t>.</w:t>
      </w:r>
    </w:p>
  </w:endnote>
  <w:endnote w:id="65">
    <w:p w:rsidR="00A1470F" w:rsidRDefault="00A1470F">
      <w:pPr>
        <w:pStyle w:val="EndnoteText"/>
      </w:pPr>
      <w:r>
        <w:rPr>
          <w:rStyle w:val="EndnoteReference"/>
        </w:rPr>
        <w:endnoteRef/>
      </w:r>
      <w:r>
        <w:t xml:space="preserve"> </w:t>
      </w:r>
      <w:proofErr w:type="gramStart"/>
      <w:r>
        <w:t>Id at 499.</w:t>
      </w:r>
      <w:proofErr w:type="gramEnd"/>
    </w:p>
  </w:endnote>
  <w:endnote w:id="66">
    <w:p w:rsidR="00A1470F" w:rsidRDefault="00A1470F">
      <w:pPr>
        <w:pStyle w:val="EndnoteText"/>
      </w:pPr>
      <w:r>
        <w:rPr>
          <w:rStyle w:val="EndnoteReference"/>
        </w:rPr>
        <w:endnoteRef/>
      </w:r>
      <w:r>
        <w:t xml:space="preserve"> Id.</w:t>
      </w:r>
    </w:p>
  </w:endnote>
  <w:endnote w:id="67">
    <w:p w:rsidR="00A1470F" w:rsidRDefault="00A1470F">
      <w:pPr>
        <w:pStyle w:val="EndnoteText"/>
      </w:pPr>
      <w:r>
        <w:rPr>
          <w:rStyle w:val="EndnoteReference"/>
        </w:rPr>
        <w:endnoteRef/>
      </w:r>
      <w:r>
        <w:t xml:space="preserve"> </w:t>
      </w:r>
      <w:r w:rsidRPr="00625EEA">
        <w:rPr>
          <w:i/>
        </w:rPr>
        <w:t>Id</w:t>
      </w:r>
      <w:r>
        <w:t xml:space="preserve">.  </w:t>
      </w:r>
      <w:r w:rsidRPr="009F0ED5">
        <w:rPr>
          <w:rFonts w:ascii="Century Schoolbook" w:hAnsi="Century Schoolbook" w:cs="Times New Roman"/>
        </w:rPr>
        <w:t>The difference in the performances of the three sets of courts during that period was statisticall</w:t>
      </w:r>
      <w:r>
        <w:rPr>
          <w:rFonts w:ascii="Century Schoolbook" w:hAnsi="Century Schoolbook" w:cs="Times New Roman"/>
        </w:rPr>
        <w:t>y significant at the .001 level.</w:t>
      </w:r>
    </w:p>
  </w:endnote>
  <w:endnote w:id="68">
    <w:p w:rsidR="00A1470F" w:rsidRDefault="00A1470F" w:rsidP="00D538F4">
      <w:pPr>
        <w:pStyle w:val="EndnoteText"/>
      </w:pPr>
      <w:r>
        <w:rPr>
          <w:rStyle w:val="EndnoteReference"/>
        </w:rPr>
        <w:endnoteRef/>
      </w:r>
      <w:r>
        <w:t xml:space="preserve"> </w:t>
      </w:r>
      <w:r w:rsidRPr="007921E2">
        <w:t>86</w:t>
      </w:r>
      <w:r>
        <w:t xml:space="preserve"> Minn. L. Rev. 1137, 1140</w:t>
      </w:r>
      <w:r w:rsidRPr="007921E2">
        <w:t>.</w:t>
      </w:r>
    </w:p>
  </w:endnote>
  <w:endnote w:id="69">
    <w:p w:rsidR="00A1470F" w:rsidRDefault="00A1470F" w:rsidP="00D538F4">
      <w:pPr>
        <w:pStyle w:val="EndnoteText"/>
      </w:pPr>
      <w:r>
        <w:rPr>
          <w:rStyle w:val="EndnoteReference"/>
        </w:rPr>
        <w:endnoteRef/>
      </w:r>
      <w:r>
        <w:t xml:space="preserve"> </w:t>
      </w:r>
      <w:proofErr w:type="gramStart"/>
      <w:r w:rsidRPr="00444AB7">
        <w:rPr>
          <w:i/>
        </w:rPr>
        <w:t>Id</w:t>
      </w:r>
      <w:r>
        <w:t xml:space="preserve"> at 1186.</w:t>
      </w:r>
      <w:proofErr w:type="gramEnd"/>
    </w:p>
  </w:endnote>
  <w:endnote w:id="70">
    <w:p w:rsidR="00A1470F" w:rsidRDefault="00A1470F" w:rsidP="00D538F4">
      <w:pPr>
        <w:pStyle w:val="EndnoteText"/>
      </w:pPr>
      <w:r>
        <w:rPr>
          <w:rStyle w:val="EndnoteReference"/>
        </w:rPr>
        <w:endnoteRef/>
      </w:r>
      <w:r>
        <w:t xml:space="preserve"> </w:t>
      </w:r>
      <w:r w:rsidRPr="009A4AC1">
        <w:rPr>
          <w:i/>
        </w:rPr>
        <w:t>Id</w:t>
      </w:r>
      <w:r>
        <w:t>.</w:t>
      </w:r>
    </w:p>
  </w:endnote>
  <w:endnote w:id="71">
    <w:p w:rsidR="00A1470F" w:rsidRPr="001976F3" w:rsidRDefault="00A1470F" w:rsidP="00D538F4">
      <w:pPr>
        <w:pStyle w:val="EndnoteText"/>
      </w:pPr>
      <w:r>
        <w:rPr>
          <w:rStyle w:val="EndnoteReference"/>
        </w:rPr>
        <w:endnoteRef/>
      </w:r>
      <w:r>
        <w:t xml:space="preserve"> </w:t>
      </w:r>
      <w:r>
        <w:rPr>
          <w:i/>
        </w:rPr>
        <w:t>Id</w:t>
      </w:r>
      <w:r>
        <w:t>.</w:t>
      </w:r>
    </w:p>
  </w:endnote>
  <w:endnote w:id="72">
    <w:p w:rsidR="00A1470F" w:rsidRDefault="00A1470F">
      <w:pPr>
        <w:pStyle w:val="EndnoteText"/>
      </w:pPr>
      <w:r>
        <w:rPr>
          <w:rStyle w:val="EndnoteReference"/>
        </w:rPr>
        <w:endnoteRef/>
      </w:r>
      <w:r>
        <w:t xml:space="preserve"> American Bankruptcy Law Journal, </w:t>
      </w:r>
      <w:r w:rsidRPr="00D7136B">
        <w:rPr>
          <w:i/>
        </w:rPr>
        <w:t xml:space="preserve">Thinking About </w:t>
      </w:r>
      <w:proofErr w:type="gramStart"/>
      <w:r w:rsidRPr="00D7136B">
        <w:rPr>
          <w:i/>
        </w:rPr>
        <w:t>The</w:t>
      </w:r>
      <w:proofErr w:type="gramEnd"/>
      <w:r w:rsidRPr="00D7136B">
        <w:rPr>
          <w:i/>
        </w:rPr>
        <w:t xml:space="preserve"> Private Matters In Public Documents: Bankruptcy Privacy In An Electronic Age</w:t>
      </w:r>
      <w:r>
        <w:rPr>
          <w:i/>
        </w:rPr>
        <w:t xml:space="preserve">, </w:t>
      </w:r>
      <w:r w:rsidRPr="00D7136B">
        <w:rPr>
          <w:i/>
        </w:rPr>
        <w:t xml:space="preserve">75 Am. </w:t>
      </w:r>
      <w:proofErr w:type="spellStart"/>
      <w:r w:rsidRPr="00D7136B">
        <w:rPr>
          <w:i/>
        </w:rPr>
        <w:t>Bankr</w:t>
      </w:r>
      <w:proofErr w:type="spellEnd"/>
      <w:r w:rsidRPr="00D7136B">
        <w:rPr>
          <w:i/>
        </w:rPr>
        <w:t xml:space="preserve">. </w:t>
      </w:r>
      <w:proofErr w:type="gramStart"/>
      <w:r w:rsidRPr="00D7136B">
        <w:rPr>
          <w:i/>
        </w:rPr>
        <w:t>L.J. 437</w:t>
      </w:r>
      <w:r>
        <w:rPr>
          <w:i/>
        </w:rPr>
        <w:t>, 441 (2001)</w:t>
      </w:r>
      <w:r>
        <w:t>.</w:t>
      </w:r>
      <w:proofErr w:type="gramEnd"/>
    </w:p>
  </w:endnote>
  <w:endnote w:id="73">
    <w:p w:rsidR="00A1470F" w:rsidRDefault="00A1470F" w:rsidP="00D7136B">
      <w:pPr>
        <w:pStyle w:val="EndnoteText"/>
      </w:pPr>
      <w:r>
        <w:rPr>
          <w:rStyle w:val="EndnoteReference"/>
        </w:rPr>
        <w:endnoteRef/>
      </w:r>
      <w:r>
        <w:t xml:space="preserve"> </w:t>
      </w:r>
      <w:r w:rsidRPr="00D7136B">
        <w:rPr>
          <w:i/>
        </w:rPr>
        <w:t>Id</w:t>
      </w:r>
      <w:r>
        <w:t>.</w:t>
      </w:r>
    </w:p>
  </w:endnote>
  <w:endnote w:id="74">
    <w:p w:rsidR="00A1470F" w:rsidRDefault="00A1470F" w:rsidP="00A8346C">
      <w:pPr>
        <w:pStyle w:val="EndnoteText"/>
      </w:pPr>
      <w:r>
        <w:rPr>
          <w:rStyle w:val="EndnoteReference"/>
        </w:rPr>
        <w:endnoteRef/>
      </w:r>
      <w:r>
        <w:t xml:space="preserve"> </w:t>
      </w:r>
      <w:r w:rsidRPr="00A8346C">
        <w:t xml:space="preserve">Harry </w:t>
      </w:r>
      <w:proofErr w:type="spellStart"/>
      <w:r w:rsidRPr="00A8346C">
        <w:t>Surden</w:t>
      </w:r>
      <w:proofErr w:type="spellEnd"/>
      <w:r w:rsidRPr="00A8346C">
        <w:t xml:space="preserve">, </w:t>
      </w:r>
      <w:r w:rsidRPr="00A8346C">
        <w:rPr>
          <w:i/>
        </w:rPr>
        <w:t>Structural Rights in Privacy</w:t>
      </w:r>
      <w:r w:rsidRPr="00A8346C">
        <w:t>, 60 SMU L. Rev. 1605, 1618 (2007)</w:t>
      </w:r>
      <w:r>
        <w:t>.</w:t>
      </w:r>
    </w:p>
  </w:endnote>
  <w:endnote w:id="75">
    <w:p w:rsidR="00A1470F" w:rsidRDefault="00A1470F">
      <w:pPr>
        <w:pStyle w:val="EndnoteText"/>
      </w:pPr>
      <w:r>
        <w:rPr>
          <w:rStyle w:val="EndnoteReference"/>
        </w:rPr>
        <w:endnoteRef/>
      </w:r>
      <w:r>
        <w:t xml:space="preserve"> 86 Minn. L. Rev. 1137, </w:t>
      </w:r>
      <w:r w:rsidRPr="00D14791">
        <w:t>1150</w:t>
      </w:r>
      <w:r>
        <w:t>.</w:t>
      </w:r>
    </w:p>
  </w:endnote>
  <w:endnote w:id="76">
    <w:p w:rsidR="00A1470F" w:rsidRDefault="00A1470F" w:rsidP="00360611">
      <w:pPr>
        <w:pStyle w:val="EndnoteText"/>
      </w:pPr>
      <w:r>
        <w:rPr>
          <w:rStyle w:val="EndnoteReference"/>
        </w:rPr>
        <w:endnoteRef/>
      </w:r>
      <w:r>
        <w:t xml:space="preserve"> Peter A. Winn, </w:t>
      </w:r>
      <w:r w:rsidRPr="00D14791">
        <w:rPr>
          <w:i/>
        </w:rPr>
        <w:t>Online Court Records: Bal</w:t>
      </w:r>
      <w:r>
        <w:rPr>
          <w:i/>
        </w:rPr>
        <w:t>ancing Judicial Accountability and Privacy in an Age o</w:t>
      </w:r>
      <w:r w:rsidRPr="00D14791">
        <w:rPr>
          <w:i/>
        </w:rPr>
        <w:t>f Electronic Information</w:t>
      </w:r>
      <w:r>
        <w:t>, 79 Wash. L. Rev. 307 (2004).</w:t>
      </w:r>
    </w:p>
  </w:endnote>
  <w:endnote w:id="77">
    <w:p w:rsidR="00A1470F" w:rsidRDefault="00A1470F">
      <w:pPr>
        <w:pStyle w:val="EndnoteText"/>
      </w:pPr>
      <w:r>
        <w:rPr>
          <w:rStyle w:val="EndnoteReference"/>
        </w:rPr>
        <w:endnoteRef/>
      </w:r>
      <w:r>
        <w:t xml:space="preserve"> </w:t>
      </w:r>
      <w:r w:rsidRPr="00A8346C">
        <w:rPr>
          <w:i/>
        </w:rPr>
        <w:t>Id</w:t>
      </w:r>
      <w:r>
        <w:t>.</w:t>
      </w:r>
    </w:p>
  </w:endnote>
  <w:endnote w:id="78">
    <w:p w:rsidR="00A1470F" w:rsidRDefault="00A1470F">
      <w:pPr>
        <w:pStyle w:val="EndnoteText"/>
      </w:pPr>
      <w:r>
        <w:rPr>
          <w:rStyle w:val="EndnoteReference"/>
        </w:rPr>
        <w:endnoteRef/>
      </w:r>
      <w:r>
        <w:t xml:space="preserve"> </w:t>
      </w:r>
      <w:r w:rsidRPr="00E5562D">
        <w:rPr>
          <w:i/>
        </w:rPr>
        <w:t>Id</w:t>
      </w:r>
      <w:r>
        <w:t>.</w:t>
      </w:r>
    </w:p>
  </w:endnote>
  <w:endnote w:id="79">
    <w:p w:rsidR="00A1470F" w:rsidRDefault="00A1470F">
      <w:pPr>
        <w:pStyle w:val="EndnoteText"/>
      </w:pPr>
      <w:r>
        <w:rPr>
          <w:rStyle w:val="EndnoteReference"/>
        </w:rPr>
        <w:endnoteRef/>
      </w:r>
      <w:r>
        <w:t xml:space="preserve"> </w:t>
      </w:r>
      <w:r w:rsidRPr="000E4ED9">
        <w:rPr>
          <w:i/>
        </w:rPr>
        <w:t>Id</w:t>
      </w:r>
      <w:r>
        <w:t>.</w:t>
      </w:r>
    </w:p>
  </w:endnote>
  <w:endnote w:id="80">
    <w:p w:rsidR="00A1470F" w:rsidRDefault="00A1470F">
      <w:pPr>
        <w:pStyle w:val="EndnoteText"/>
      </w:pPr>
      <w:r>
        <w:rPr>
          <w:rStyle w:val="EndnoteReference"/>
        </w:rPr>
        <w:endnoteRef/>
      </w:r>
      <w:r>
        <w:t xml:space="preserve"> </w:t>
      </w:r>
      <w:r w:rsidRPr="00E5562D">
        <w:rPr>
          <w:i/>
        </w:rPr>
        <w:t>Id</w:t>
      </w:r>
      <w:r>
        <w:t>.</w:t>
      </w:r>
    </w:p>
  </w:endnote>
  <w:endnote w:id="81">
    <w:p w:rsidR="00A1470F" w:rsidRDefault="00A1470F">
      <w:pPr>
        <w:pStyle w:val="EndnoteText"/>
      </w:pPr>
      <w:r>
        <w:rPr>
          <w:rStyle w:val="EndnoteReference"/>
        </w:rPr>
        <w:endnoteRef/>
      </w:r>
      <w:r>
        <w:t xml:space="preserve"> </w:t>
      </w:r>
      <w:proofErr w:type="gramStart"/>
      <w:r w:rsidRPr="00D7136B">
        <w:rPr>
          <w:i/>
        </w:rPr>
        <w:t>Id</w:t>
      </w:r>
      <w:r>
        <w:t xml:space="preserve"> at </w:t>
      </w:r>
      <w:r>
        <w:rPr>
          <w:rFonts w:ascii="Times New Roman" w:hAnsi="Times New Roman" w:cs="Times New Roman"/>
        </w:rPr>
        <w:t>1183.</w:t>
      </w:r>
      <w:proofErr w:type="gramEnd"/>
    </w:p>
  </w:endnote>
  <w:endnote w:id="82">
    <w:p w:rsidR="00A1470F" w:rsidRDefault="00A1470F">
      <w:pPr>
        <w:pStyle w:val="EndnoteText"/>
      </w:pPr>
      <w:r>
        <w:rPr>
          <w:rStyle w:val="EndnoteReference"/>
        </w:rPr>
        <w:endnoteRef/>
      </w:r>
      <w:r>
        <w:t xml:space="preserve"> </w:t>
      </w:r>
      <w:r w:rsidRPr="00A5592C">
        <w:rPr>
          <w:i/>
        </w:rPr>
        <w:t>Id</w:t>
      </w:r>
      <w:r>
        <w:t>.</w:t>
      </w:r>
    </w:p>
  </w:endnote>
  <w:endnote w:id="83">
    <w:p w:rsidR="00A1470F" w:rsidRDefault="00A1470F">
      <w:pPr>
        <w:pStyle w:val="EndnoteText"/>
      </w:pPr>
      <w:r>
        <w:rPr>
          <w:rStyle w:val="EndnoteReference"/>
        </w:rPr>
        <w:endnoteRef/>
      </w:r>
      <w:r>
        <w:t xml:space="preserve"> </w:t>
      </w:r>
      <w:r w:rsidRPr="00AF7BC6">
        <w:rPr>
          <w:i/>
        </w:rPr>
        <w:t>Id</w:t>
      </w:r>
      <w:r>
        <w:t>.</w:t>
      </w:r>
    </w:p>
  </w:endnote>
  <w:endnote w:id="84">
    <w:p w:rsidR="00A1470F" w:rsidRDefault="00A1470F">
      <w:pPr>
        <w:pStyle w:val="EndnoteText"/>
      </w:pPr>
      <w:r>
        <w:rPr>
          <w:rStyle w:val="EndnoteReference"/>
        </w:rPr>
        <w:endnoteRef/>
      </w:r>
      <w:r>
        <w:t xml:space="preserve"> 86 Minn. L. Rev. 1137, 1183</w:t>
      </w:r>
      <w:r w:rsidRPr="007921E2">
        <w:t>.</w:t>
      </w:r>
    </w:p>
  </w:endnote>
  <w:endnote w:id="85">
    <w:p w:rsidR="00A1470F" w:rsidRDefault="00A1470F">
      <w:pPr>
        <w:pStyle w:val="EndnoteText"/>
      </w:pPr>
      <w:r>
        <w:rPr>
          <w:rStyle w:val="EndnoteReference"/>
        </w:rPr>
        <w:endnoteRef/>
      </w:r>
      <w:r>
        <w:t xml:space="preserve"> </w:t>
      </w:r>
      <w:r w:rsidRPr="00772171">
        <w:rPr>
          <w:i/>
        </w:rPr>
        <w:t>Id</w:t>
      </w:r>
      <w:r w:rsidRPr="007921E2">
        <w:t>.</w:t>
      </w:r>
    </w:p>
  </w:endnote>
  <w:endnote w:id="86">
    <w:p w:rsidR="00A1470F" w:rsidRDefault="00A1470F" w:rsidP="00E70E94">
      <w:pPr>
        <w:pStyle w:val="EndnoteText"/>
      </w:pPr>
      <w:r>
        <w:rPr>
          <w:rStyle w:val="EndnoteReference"/>
        </w:rPr>
        <w:endnoteRef/>
      </w:r>
      <w:r>
        <w:t xml:space="preserve"> Michelle Alexander</w:t>
      </w:r>
      <w:r w:rsidRPr="00F57BBE">
        <w:t xml:space="preserve">, </w:t>
      </w:r>
      <w:proofErr w:type="gramStart"/>
      <w:r>
        <w:rPr>
          <w:i/>
        </w:rPr>
        <w:t>The</w:t>
      </w:r>
      <w:proofErr w:type="gramEnd"/>
      <w:r>
        <w:rPr>
          <w:i/>
        </w:rPr>
        <w:t xml:space="preserve"> New Jim Crow: Mass Incarceration in the Age of Colorblindness</w:t>
      </w:r>
      <w:r>
        <w:t xml:space="preserve"> 239, n. 2</w:t>
      </w:r>
      <w:r w:rsidRPr="00F57BBE">
        <w:t xml:space="preserve"> (</w:t>
      </w:r>
      <w:r>
        <w:t>1st ed. 2010</w:t>
      </w:r>
      <w:r w:rsidRPr="00F57BBE">
        <w:t>).</w:t>
      </w:r>
    </w:p>
  </w:endnote>
  <w:endnote w:id="87">
    <w:p w:rsidR="00A1470F" w:rsidRDefault="00A1470F" w:rsidP="00487F02">
      <w:pPr>
        <w:pStyle w:val="EndnoteText"/>
      </w:pPr>
      <w:r>
        <w:rPr>
          <w:rStyle w:val="EndnoteReference"/>
        </w:rPr>
        <w:endnoteRef/>
      </w:r>
      <w:r>
        <w:t xml:space="preserve"> </w:t>
      </w:r>
      <w:proofErr w:type="gramStart"/>
      <w:r w:rsidRPr="00F14BD6">
        <w:rPr>
          <w:i/>
        </w:rPr>
        <w:t>Id</w:t>
      </w:r>
      <w:r>
        <w:t xml:space="preserve"> at 92.</w:t>
      </w:r>
      <w:proofErr w:type="gramEnd"/>
    </w:p>
  </w:endnote>
  <w:endnote w:id="88">
    <w:p w:rsidR="00A1470F" w:rsidRDefault="00A1470F" w:rsidP="00874FDC">
      <w:pPr>
        <w:pStyle w:val="EndnoteText"/>
      </w:pPr>
      <w:r>
        <w:rPr>
          <w:rStyle w:val="EndnoteReference"/>
        </w:rPr>
        <w:endnoteRef/>
      </w:r>
      <w:r>
        <w:t xml:space="preserve"> </w:t>
      </w:r>
      <w:proofErr w:type="gramStart"/>
      <w:r w:rsidRPr="00F14BD6">
        <w:rPr>
          <w:i/>
        </w:rPr>
        <w:t>Id</w:t>
      </w:r>
      <w:r>
        <w:t xml:space="preserve"> at 14</w:t>
      </w:r>
      <w:r w:rsidRPr="00F57BBE">
        <w:t>.</w:t>
      </w:r>
      <w:proofErr w:type="gramEnd"/>
    </w:p>
  </w:endnote>
  <w:endnote w:id="89">
    <w:p w:rsidR="00A1470F" w:rsidRDefault="00A1470F" w:rsidP="00676269">
      <w:pPr>
        <w:pStyle w:val="EndnoteText"/>
      </w:pPr>
      <w:r>
        <w:rPr>
          <w:rStyle w:val="EndnoteReference"/>
        </w:rPr>
        <w:endnoteRef/>
      </w:r>
      <w:r>
        <w:t xml:space="preserve"> </w:t>
      </w:r>
      <w:proofErr w:type="gramStart"/>
      <w:r w:rsidRPr="00F14BD6">
        <w:rPr>
          <w:i/>
        </w:rPr>
        <w:t>Id</w:t>
      </w:r>
      <w:r>
        <w:t xml:space="preserve"> at 55</w:t>
      </w:r>
      <w:r w:rsidRPr="00F57BBE">
        <w:t>.</w:t>
      </w:r>
      <w:proofErr w:type="gramEnd"/>
    </w:p>
  </w:endnote>
  <w:endnote w:id="90">
    <w:p w:rsidR="00A1470F" w:rsidRDefault="00A1470F" w:rsidP="00487F02">
      <w:pPr>
        <w:pStyle w:val="EndnoteText"/>
      </w:pPr>
      <w:r>
        <w:rPr>
          <w:rStyle w:val="EndnoteReference"/>
        </w:rPr>
        <w:endnoteRef/>
      </w:r>
      <w:r>
        <w:t xml:space="preserve"> </w:t>
      </w:r>
      <w:r w:rsidRPr="002972BB">
        <w:t xml:space="preserve">Gregory M. Silverman, </w:t>
      </w:r>
      <w:r>
        <w:rPr>
          <w:i/>
        </w:rPr>
        <w:t>Rise of t</w:t>
      </w:r>
      <w:r w:rsidRPr="002972BB">
        <w:rPr>
          <w:i/>
        </w:rPr>
        <w:t>he Machine</w:t>
      </w:r>
      <w:r>
        <w:rPr>
          <w:i/>
        </w:rPr>
        <w:t>s: Justice Information Systems and the Question o</w:t>
      </w:r>
      <w:r w:rsidRPr="002972BB">
        <w:rPr>
          <w:i/>
        </w:rPr>
        <w:t xml:space="preserve">f Public Access </w:t>
      </w:r>
      <w:proofErr w:type="gramStart"/>
      <w:r w:rsidRPr="002972BB">
        <w:rPr>
          <w:i/>
        </w:rPr>
        <w:t>To</w:t>
      </w:r>
      <w:proofErr w:type="gramEnd"/>
      <w:r w:rsidRPr="002972BB">
        <w:rPr>
          <w:i/>
        </w:rPr>
        <w:t xml:space="preserve"> Court Records Over The Internet</w:t>
      </w:r>
      <w:r w:rsidRPr="002972BB">
        <w:t>, 79 Wash. L. Rev. 175</w:t>
      </w:r>
      <w:r>
        <w:t>, 181</w:t>
      </w:r>
      <w:r w:rsidRPr="002972BB">
        <w:t xml:space="preserve"> (2004).</w:t>
      </w:r>
    </w:p>
  </w:endnote>
  <w:endnote w:id="91">
    <w:p w:rsidR="00A1470F" w:rsidRDefault="00A1470F" w:rsidP="00487F02">
      <w:pPr>
        <w:pStyle w:val="EndnoteText"/>
      </w:pPr>
      <w:r>
        <w:rPr>
          <w:rStyle w:val="EndnoteReference"/>
        </w:rPr>
        <w:endnoteRef/>
      </w:r>
      <w:r>
        <w:t xml:space="preserve"> U.S. Immigration and Customs Enforcement website, </w:t>
      </w:r>
      <w:r>
        <w:rPr>
          <w:i/>
        </w:rPr>
        <w:t>Secure Communities</w:t>
      </w:r>
      <w:r>
        <w:t xml:space="preserve">, available at: </w:t>
      </w:r>
      <w:hyperlink r:id="rId10" w:history="1">
        <w:r w:rsidRPr="00A84914">
          <w:rPr>
            <w:rStyle w:val="Hyperlink"/>
          </w:rPr>
          <w:t>http://www.ice.gov/secure_communities/</w:t>
        </w:r>
      </w:hyperlink>
      <w:r>
        <w:t xml:space="preserve"> last visited Apr. 21, 2011.</w:t>
      </w:r>
    </w:p>
  </w:endnote>
  <w:endnote w:id="92">
    <w:p w:rsidR="00A1470F" w:rsidRDefault="00A1470F" w:rsidP="007659B9">
      <w:pPr>
        <w:pStyle w:val="EndnoteText"/>
      </w:pPr>
      <w:r>
        <w:rPr>
          <w:rStyle w:val="EndnoteReference"/>
        </w:rPr>
        <w:endnoteRef/>
      </w:r>
      <w:r>
        <w:t xml:space="preserve"> </w:t>
      </w:r>
      <w:proofErr w:type="spellStart"/>
      <w:proofErr w:type="gramStart"/>
      <w:r w:rsidRPr="006E2E94">
        <w:rPr>
          <w:i/>
        </w:rPr>
        <w:t>Mccleskey</w:t>
      </w:r>
      <w:proofErr w:type="spellEnd"/>
      <w:r w:rsidRPr="006E2E94">
        <w:rPr>
          <w:i/>
        </w:rPr>
        <w:t xml:space="preserve"> V. K</w:t>
      </w:r>
      <w:r>
        <w:rPr>
          <w:i/>
        </w:rPr>
        <w:t>emp</w:t>
      </w:r>
      <w:r w:rsidRPr="006E2E94">
        <w:t>, 481 U.S. 279 (1987).</w:t>
      </w:r>
      <w:proofErr w:type="gramEnd"/>
    </w:p>
  </w:endnote>
  <w:endnote w:id="93">
    <w:p w:rsidR="00A1470F" w:rsidRDefault="00A1470F">
      <w:pPr>
        <w:pStyle w:val="EndnoteText"/>
      </w:pPr>
      <w:r>
        <w:rPr>
          <w:rStyle w:val="EndnoteReference"/>
        </w:rPr>
        <w:endnoteRef/>
      </w:r>
      <w:r>
        <w:t xml:space="preserve"> </w:t>
      </w:r>
      <w:r w:rsidRPr="002972BB">
        <w:t xml:space="preserve">Gregory M. Silverman, </w:t>
      </w:r>
      <w:r w:rsidRPr="002972BB">
        <w:rPr>
          <w:i/>
        </w:rPr>
        <w:t xml:space="preserve">Rise </w:t>
      </w:r>
      <w:proofErr w:type="gramStart"/>
      <w:r w:rsidRPr="002972BB">
        <w:rPr>
          <w:i/>
        </w:rPr>
        <w:t>Of</w:t>
      </w:r>
      <w:proofErr w:type="gramEnd"/>
      <w:r w:rsidRPr="002972BB">
        <w:rPr>
          <w:i/>
        </w:rPr>
        <w:t xml:space="preserve"> The Machines: Justice Information Systems And The Question Of Public Access To Court Records Over The Internet</w:t>
      </w:r>
      <w:r w:rsidRPr="002972BB">
        <w:t>, 79 Wash. L. Rev. 175</w:t>
      </w:r>
      <w:r>
        <w:t>, 186</w:t>
      </w:r>
      <w:r w:rsidRPr="002972BB">
        <w:t xml:space="preserve"> (2004).</w:t>
      </w:r>
    </w:p>
  </w:endnote>
  <w:endnote w:id="94">
    <w:p w:rsidR="00A1470F" w:rsidRDefault="00A1470F" w:rsidP="00C7638E">
      <w:pPr>
        <w:pStyle w:val="EndnoteText"/>
      </w:pPr>
      <w:r>
        <w:rPr>
          <w:rStyle w:val="EndnoteReference"/>
        </w:rPr>
        <w:endnoteRef/>
      </w:r>
      <w:r>
        <w:t xml:space="preserve"> </w:t>
      </w:r>
      <w:proofErr w:type="gramStart"/>
      <w:r w:rsidRPr="00772171">
        <w:rPr>
          <w:i/>
        </w:rPr>
        <w:t>Id</w:t>
      </w:r>
      <w:r w:rsidRPr="00772171">
        <w:t>. at 199.</w:t>
      </w:r>
      <w:proofErr w:type="gramEnd"/>
    </w:p>
  </w:endnote>
  <w:endnote w:id="95">
    <w:p w:rsidR="00A1470F" w:rsidRDefault="00A1470F">
      <w:pPr>
        <w:pStyle w:val="EndnoteText"/>
      </w:pPr>
      <w:r>
        <w:rPr>
          <w:rStyle w:val="EndnoteReference"/>
        </w:rPr>
        <w:endnoteRef/>
      </w:r>
      <w:r>
        <w:t xml:space="preserve"> </w:t>
      </w:r>
      <w:r w:rsidRPr="00E9496D">
        <w:rPr>
          <w:i/>
        </w:rPr>
        <w:t>Id</w:t>
      </w:r>
      <w:r>
        <w:t>.</w:t>
      </w:r>
    </w:p>
  </w:endnote>
  <w:endnote w:id="96">
    <w:p w:rsidR="00A1470F" w:rsidRDefault="00A1470F" w:rsidP="00522FFE">
      <w:pPr>
        <w:pStyle w:val="EndnoteText"/>
      </w:pPr>
      <w:r>
        <w:rPr>
          <w:rStyle w:val="EndnoteReference"/>
        </w:rPr>
        <w:endnoteRef/>
      </w:r>
      <w:r>
        <w:t xml:space="preserve"> </w:t>
      </w:r>
      <w:r w:rsidRPr="00522FFE">
        <w:t>Global Justice XML (Archive)</w:t>
      </w:r>
      <w:r>
        <w:t>,</w:t>
      </w:r>
      <w:r w:rsidRPr="00522FFE">
        <w:t xml:space="preserve"> </w:t>
      </w:r>
      <w:r w:rsidRPr="00522FFE">
        <w:rPr>
          <w:i/>
        </w:rPr>
        <w:t>Extensible Markup Language (XML) and Its Role in Supporting the Global Justice XML Data Model</w:t>
      </w:r>
      <w:r>
        <w:t xml:space="preserve">, available at </w:t>
      </w:r>
      <w:hyperlink r:id="rId11" w:history="1">
        <w:r w:rsidRPr="0008315E">
          <w:rPr>
            <w:rStyle w:val="Hyperlink"/>
          </w:rPr>
          <w:t>http://www.it.ojp.gov/documents/What_is_XML_article.pdf</w:t>
        </w:r>
      </w:hyperlink>
      <w:r>
        <w:t xml:space="preserve">. </w:t>
      </w:r>
    </w:p>
  </w:endnote>
  <w:endnote w:id="97">
    <w:p w:rsidR="00A1470F" w:rsidRDefault="00A1470F">
      <w:pPr>
        <w:pStyle w:val="EndnoteText"/>
      </w:pPr>
      <w:r>
        <w:rPr>
          <w:rStyle w:val="EndnoteReference"/>
        </w:rPr>
        <w:endnoteRef/>
      </w:r>
      <w:r>
        <w:t xml:space="preserve"> </w:t>
      </w:r>
      <w:r w:rsidRPr="00AF7BC6">
        <w:rPr>
          <w:i/>
        </w:rPr>
        <w:t>Id</w:t>
      </w:r>
      <w:r>
        <w:t>.</w:t>
      </w:r>
    </w:p>
  </w:endnote>
  <w:endnote w:id="98">
    <w:p w:rsidR="00A1470F" w:rsidRDefault="00A1470F">
      <w:pPr>
        <w:pStyle w:val="EndnoteText"/>
      </w:pPr>
      <w:r>
        <w:rPr>
          <w:rStyle w:val="EndnoteReference"/>
        </w:rPr>
        <w:endnoteRef/>
      </w:r>
      <w:r>
        <w:t xml:space="preserve"> </w:t>
      </w:r>
      <w:proofErr w:type="gramStart"/>
      <w:r w:rsidRPr="002972BB">
        <w:t>79 Wash. L. Rev. 175</w:t>
      </w:r>
      <w:r>
        <w:t>, 206.</w:t>
      </w:r>
      <w:proofErr w:type="gramEnd"/>
    </w:p>
  </w:endnote>
  <w:endnote w:id="99">
    <w:p w:rsidR="00A1470F" w:rsidRDefault="00A1470F">
      <w:pPr>
        <w:pStyle w:val="EndnoteText"/>
      </w:pPr>
      <w:r>
        <w:rPr>
          <w:rStyle w:val="EndnoteReference"/>
        </w:rPr>
        <w:endnoteRef/>
      </w:r>
      <w:r>
        <w:t xml:space="preserve"> </w:t>
      </w:r>
      <w:r w:rsidRPr="00E9496D">
        <w:rPr>
          <w:i/>
        </w:rPr>
        <w:t>Id</w:t>
      </w:r>
      <w:r>
        <w:t>.</w:t>
      </w:r>
    </w:p>
  </w:endnote>
  <w:endnote w:id="100">
    <w:p w:rsidR="00A1470F" w:rsidRDefault="00A1470F" w:rsidP="00C7638E">
      <w:pPr>
        <w:pStyle w:val="EndnoteText"/>
      </w:pPr>
      <w:r>
        <w:rPr>
          <w:rStyle w:val="EndnoteReference"/>
        </w:rPr>
        <w:endnoteRef/>
      </w:r>
      <w:r>
        <w:t xml:space="preserve"> </w:t>
      </w:r>
      <w:r w:rsidRPr="00F14BD6">
        <w:rPr>
          <w:i/>
        </w:rPr>
        <w:t>Id</w:t>
      </w:r>
      <w:r>
        <w:t>.</w:t>
      </w:r>
    </w:p>
  </w:endnote>
  <w:endnote w:id="101">
    <w:p w:rsidR="00A1470F" w:rsidRDefault="00A1470F">
      <w:pPr>
        <w:pStyle w:val="EndnoteText"/>
      </w:pPr>
      <w:r>
        <w:rPr>
          <w:rStyle w:val="EndnoteReference"/>
        </w:rPr>
        <w:endnoteRef/>
      </w:r>
      <w:r>
        <w:t xml:space="preserve"> Peter A. Winn</w:t>
      </w:r>
      <w:r w:rsidRPr="002972BB">
        <w:t xml:space="preserve">, </w:t>
      </w:r>
      <w:r w:rsidRPr="00223999">
        <w:rPr>
          <w:i/>
        </w:rPr>
        <w:t xml:space="preserve">Judicial Information Management </w:t>
      </w:r>
      <w:proofErr w:type="gramStart"/>
      <w:r w:rsidRPr="00223999">
        <w:rPr>
          <w:i/>
        </w:rPr>
        <w:t>In</w:t>
      </w:r>
      <w:proofErr w:type="gramEnd"/>
      <w:r w:rsidRPr="00223999">
        <w:rPr>
          <w:i/>
        </w:rPr>
        <w:t xml:space="preserve"> An Electronic Age: Old Standards, New Challenges</w:t>
      </w:r>
      <w:r w:rsidRPr="002972BB">
        <w:t xml:space="preserve">, </w:t>
      </w:r>
      <w:r>
        <w:t xml:space="preserve">3 Fed. </w:t>
      </w:r>
      <w:proofErr w:type="spellStart"/>
      <w:proofErr w:type="gramStart"/>
      <w:r>
        <w:t>Cts</w:t>
      </w:r>
      <w:proofErr w:type="spellEnd"/>
      <w:r>
        <w:t xml:space="preserve">. L. Rev. 135, 174 </w:t>
      </w:r>
      <w:r w:rsidRPr="002972BB">
        <w:t>(200</w:t>
      </w:r>
      <w:r>
        <w:t>9</w:t>
      </w:r>
      <w:r w:rsidRPr="002972BB">
        <w:t>).</w:t>
      </w:r>
      <w:proofErr w:type="gramEnd"/>
    </w:p>
  </w:endnote>
  <w:endnote w:id="102">
    <w:p w:rsidR="00A1470F" w:rsidRDefault="00A1470F" w:rsidP="000F3E83">
      <w:pPr>
        <w:pStyle w:val="EndnoteText"/>
      </w:pPr>
      <w:r>
        <w:rPr>
          <w:rStyle w:val="EndnoteReference"/>
        </w:rPr>
        <w:endnoteRef/>
      </w:r>
      <w:r>
        <w:t xml:space="preserve"> </w:t>
      </w:r>
      <w:proofErr w:type="gramStart"/>
      <w:r w:rsidRPr="00AF7BC6">
        <w:rPr>
          <w:i/>
        </w:rPr>
        <w:t>Id</w:t>
      </w:r>
      <w:r>
        <w:t xml:space="preserve"> at 170.</w:t>
      </w:r>
      <w:proofErr w:type="gramEnd"/>
    </w:p>
  </w:endnote>
  <w:endnote w:id="103">
    <w:p w:rsidR="00A1470F" w:rsidRDefault="00A1470F" w:rsidP="00692043">
      <w:pPr>
        <w:pStyle w:val="EndnoteText"/>
      </w:pPr>
      <w:r>
        <w:rPr>
          <w:rStyle w:val="EndnoteReference"/>
        </w:rPr>
        <w:endnoteRef/>
      </w:r>
      <w:r>
        <w:t xml:space="preserve"> </w:t>
      </w:r>
      <w:proofErr w:type="gramStart"/>
      <w:r w:rsidRPr="00AF7BC6">
        <w:rPr>
          <w:i/>
        </w:rPr>
        <w:t>Id</w:t>
      </w:r>
      <w:r>
        <w:t xml:space="preserve"> at 170.</w:t>
      </w:r>
      <w:proofErr w:type="gramEnd"/>
    </w:p>
  </w:endnote>
  <w:endnote w:id="104">
    <w:p w:rsidR="00A1470F" w:rsidRDefault="00A1470F">
      <w:pPr>
        <w:pStyle w:val="EndnoteText"/>
      </w:pPr>
      <w:r>
        <w:rPr>
          <w:rStyle w:val="EndnoteReference"/>
        </w:rPr>
        <w:endnoteRef/>
      </w:r>
      <w:r>
        <w:t xml:space="preserve"> </w:t>
      </w:r>
      <w:r w:rsidRPr="00AF7BC6">
        <w:rPr>
          <w:i/>
        </w:rPr>
        <w:t>Id</w:t>
      </w:r>
      <w:r>
        <w:rPr>
          <w:i/>
        </w:rPr>
        <w:t>.</w:t>
      </w:r>
    </w:p>
  </w:endnote>
  <w:endnote w:id="105">
    <w:p w:rsidR="00A1470F" w:rsidRDefault="00A1470F" w:rsidP="00692043">
      <w:pPr>
        <w:pStyle w:val="EndnoteText"/>
      </w:pPr>
      <w:r>
        <w:rPr>
          <w:rStyle w:val="EndnoteReference"/>
        </w:rPr>
        <w:endnoteRef/>
      </w:r>
      <w:r>
        <w:t xml:space="preserve"> </w:t>
      </w:r>
      <w:r w:rsidRPr="00AF7BC6">
        <w:rPr>
          <w:i/>
        </w:rPr>
        <w:t>Id</w:t>
      </w:r>
      <w:r>
        <w:t>.</w:t>
      </w:r>
    </w:p>
  </w:endnote>
  <w:endnote w:id="106">
    <w:p w:rsidR="00A1470F" w:rsidRDefault="00A1470F" w:rsidP="00692043">
      <w:pPr>
        <w:pStyle w:val="EndnoteText"/>
      </w:pPr>
      <w:r>
        <w:rPr>
          <w:rStyle w:val="EndnoteReference"/>
        </w:rPr>
        <w:endnoteRef/>
      </w:r>
      <w:r>
        <w:t xml:space="preserve"> </w:t>
      </w:r>
      <w:proofErr w:type="gramStart"/>
      <w:r w:rsidRPr="00E56B4D">
        <w:rPr>
          <w:i/>
        </w:rPr>
        <w:t>Id</w:t>
      </w:r>
      <w:r>
        <w:t xml:space="preserve"> at 173.</w:t>
      </w:r>
      <w:proofErr w:type="gramEnd"/>
    </w:p>
  </w:endnote>
  <w:endnote w:id="107">
    <w:p w:rsidR="00A1470F" w:rsidRDefault="00A1470F" w:rsidP="00223999">
      <w:pPr>
        <w:pStyle w:val="EndnoteText"/>
      </w:pPr>
      <w:r>
        <w:rPr>
          <w:rStyle w:val="EndnoteReference"/>
        </w:rPr>
        <w:endnoteRef/>
      </w:r>
      <w:r>
        <w:t xml:space="preserve"> </w:t>
      </w:r>
      <w:proofErr w:type="gramStart"/>
      <w:r w:rsidRPr="00E56B4D">
        <w:rPr>
          <w:i/>
        </w:rPr>
        <w:t>Id</w:t>
      </w:r>
      <w:r>
        <w:t xml:space="preserve"> at 174.</w:t>
      </w:r>
      <w:proofErr w:type="gramEnd"/>
    </w:p>
  </w:endnote>
  <w:endnote w:id="108">
    <w:p w:rsidR="00A1470F" w:rsidRDefault="00A1470F">
      <w:pPr>
        <w:pStyle w:val="EndnoteText"/>
      </w:pPr>
      <w:r>
        <w:rPr>
          <w:rStyle w:val="EndnoteReference"/>
        </w:rPr>
        <w:endnoteRef/>
      </w:r>
      <w:r>
        <w:t xml:space="preserve"> </w:t>
      </w:r>
      <w:r w:rsidRPr="00C36F4E">
        <w:rPr>
          <w:i/>
        </w:rPr>
        <w:t>Id</w:t>
      </w:r>
      <w:r>
        <w:t>.</w:t>
      </w:r>
    </w:p>
  </w:endnote>
  <w:endnote w:id="109">
    <w:p w:rsidR="00A1470F" w:rsidRDefault="00A1470F">
      <w:pPr>
        <w:pStyle w:val="EndnoteText"/>
      </w:pPr>
      <w:r>
        <w:rPr>
          <w:rStyle w:val="EndnoteReference"/>
        </w:rPr>
        <w:endnoteRef/>
      </w:r>
      <w:r>
        <w:t xml:space="preserve"> </w:t>
      </w:r>
      <w:proofErr w:type="gramStart"/>
      <w:r w:rsidRPr="00E56B4D">
        <w:rPr>
          <w:i/>
        </w:rPr>
        <w:t>Id</w:t>
      </w:r>
      <w:r>
        <w:t xml:space="preserve"> at 173.</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0F" w:rsidRDefault="00A1470F" w:rsidP="00AF7BC6">
    <w:pPr>
      <w:pStyle w:val="Footer"/>
      <w:jc w:val="right"/>
    </w:pPr>
    <w:r>
      <w:t xml:space="preserve">Page # </w:t>
    </w:r>
    <w:sdt>
      <w:sdtPr>
        <w:id w:val="62161688"/>
        <w:docPartObj>
          <w:docPartGallery w:val="Page Numbers (Bottom of Page)"/>
          <w:docPartUnique/>
        </w:docPartObj>
      </w:sdtPr>
      <w:sdtContent>
        <w:fldSimple w:instr=" PAGE   \* MERGEFORMAT ">
          <w:r w:rsidR="006E7306">
            <w:rPr>
              <w:noProof/>
            </w:rPr>
            <w:t>22</w:t>
          </w:r>
        </w:fldSimple>
      </w:sdtContent>
    </w:sdt>
  </w:p>
  <w:p w:rsidR="00A1470F" w:rsidRDefault="00A14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889" w:rsidRDefault="00DC0889" w:rsidP="009B101D">
      <w:r>
        <w:separator/>
      </w:r>
    </w:p>
  </w:footnote>
  <w:footnote w:type="continuationSeparator" w:id="0">
    <w:p w:rsidR="00DC0889" w:rsidRDefault="00DC0889" w:rsidP="009B1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0F" w:rsidRDefault="00A1470F">
    <w:pPr>
      <w:pStyle w:val="Header"/>
    </w:pPr>
    <w:r>
      <w:t>Databases: Privacy, Transparency, and the Law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13463"/>
    <w:multiLevelType w:val="hybridMultilevel"/>
    <w:tmpl w:val="A3384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10FA4"/>
    <w:multiLevelType w:val="hybridMultilevel"/>
    <w:tmpl w:val="836EB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445E1"/>
    <w:multiLevelType w:val="hybridMultilevel"/>
    <w:tmpl w:val="0AF83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D94A52"/>
    <w:rsid w:val="00003D4E"/>
    <w:rsid w:val="00012ADE"/>
    <w:rsid w:val="000141EA"/>
    <w:rsid w:val="0002068B"/>
    <w:rsid w:val="000221A0"/>
    <w:rsid w:val="0002412D"/>
    <w:rsid w:val="00025035"/>
    <w:rsid w:val="0002568B"/>
    <w:rsid w:val="00033C06"/>
    <w:rsid w:val="0003493F"/>
    <w:rsid w:val="00034A10"/>
    <w:rsid w:val="00042C2F"/>
    <w:rsid w:val="000560CC"/>
    <w:rsid w:val="00061BDF"/>
    <w:rsid w:val="00063D3F"/>
    <w:rsid w:val="000646BD"/>
    <w:rsid w:val="00070E9C"/>
    <w:rsid w:val="000741BA"/>
    <w:rsid w:val="000741FA"/>
    <w:rsid w:val="00075A02"/>
    <w:rsid w:val="000769B7"/>
    <w:rsid w:val="00083AAC"/>
    <w:rsid w:val="000917C9"/>
    <w:rsid w:val="00092B42"/>
    <w:rsid w:val="0009424A"/>
    <w:rsid w:val="000974FF"/>
    <w:rsid w:val="0009755B"/>
    <w:rsid w:val="000A3D9F"/>
    <w:rsid w:val="000A50DF"/>
    <w:rsid w:val="000A79FA"/>
    <w:rsid w:val="000B0107"/>
    <w:rsid w:val="000B798C"/>
    <w:rsid w:val="000C1A89"/>
    <w:rsid w:val="000C3C1B"/>
    <w:rsid w:val="000D23AA"/>
    <w:rsid w:val="000D708A"/>
    <w:rsid w:val="000E2AC1"/>
    <w:rsid w:val="000E4ED9"/>
    <w:rsid w:val="000E5740"/>
    <w:rsid w:val="000F1265"/>
    <w:rsid w:val="000F3E83"/>
    <w:rsid w:val="000F4EA7"/>
    <w:rsid w:val="00104FEA"/>
    <w:rsid w:val="00105427"/>
    <w:rsid w:val="00121062"/>
    <w:rsid w:val="00121631"/>
    <w:rsid w:val="00123804"/>
    <w:rsid w:val="00131144"/>
    <w:rsid w:val="0014016C"/>
    <w:rsid w:val="00145BD9"/>
    <w:rsid w:val="0015713C"/>
    <w:rsid w:val="001630C1"/>
    <w:rsid w:val="00163E49"/>
    <w:rsid w:val="00171911"/>
    <w:rsid w:val="00182E12"/>
    <w:rsid w:val="001930C2"/>
    <w:rsid w:val="001976F3"/>
    <w:rsid w:val="001C340E"/>
    <w:rsid w:val="001C4367"/>
    <w:rsid w:val="001C4E4E"/>
    <w:rsid w:val="001C5194"/>
    <w:rsid w:val="001D0E1E"/>
    <w:rsid w:val="001D2C0F"/>
    <w:rsid w:val="001E3A69"/>
    <w:rsid w:val="001E6E21"/>
    <w:rsid w:val="001E759D"/>
    <w:rsid w:val="001F42C5"/>
    <w:rsid w:val="002005BE"/>
    <w:rsid w:val="00200F94"/>
    <w:rsid w:val="00207AD0"/>
    <w:rsid w:val="002104EE"/>
    <w:rsid w:val="0021122D"/>
    <w:rsid w:val="00214E8B"/>
    <w:rsid w:val="00223999"/>
    <w:rsid w:val="0022615B"/>
    <w:rsid w:val="002422FE"/>
    <w:rsid w:val="002452C3"/>
    <w:rsid w:val="00245FBF"/>
    <w:rsid w:val="00246597"/>
    <w:rsid w:val="0024746F"/>
    <w:rsid w:val="0025345A"/>
    <w:rsid w:val="00253C58"/>
    <w:rsid w:val="002621F4"/>
    <w:rsid w:val="002650C1"/>
    <w:rsid w:val="0026520D"/>
    <w:rsid w:val="00266036"/>
    <w:rsid w:val="00282D55"/>
    <w:rsid w:val="002857D9"/>
    <w:rsid w:val="00291238"/>
    <w:rsid w:val="002930E5"/>
    <w:rsid w:val="002959AB"/>
    <w:rsid w:val="002972BB"/>
    <w:rsid w:val="002A13F9"/>
    <w:rsid w:val="002B0501"/>
    <w:rsid w:val="002B1CFC"/>
    <w:rsid w:val="002C1100"/>
    <w:rsid w:val="002E4F79"/>
    <w:rsid w:val="002F08E7"/>
    <w:rsid w:val="002F14C6"/>
    <w:rsid w:val="002F16A6"/>
    <w:rsid w:val="003028F8"/>
    <w:rsid w:val="003044A8"/>
    <w:rsid w:val="00306B43"/>
    <w:rsid w:val="00306CDC"/>
    <w:rsid w:val="003155C6"/>
    <w:rsid w:val="0031637C"/>
    <w:rsid w:val="00334BA9"/>
    <w:rsid w:val="003500FE"/>
    <w:rsid w:val="00353464"/>
    <w:rsid w:val="00360611"/>
    <w:rsid w:val="00362816"/>
    <w:rsid w:val="003679E0"/>
    <w:rsid w:val="00372243"/>
    <w:rsid w:val="00374339"/>
    <w:rsid w:val="00377F53"/>
    <w:rsid w:val="003834BC"/>
    <w:rsid w:val="003A22A7"/>
    <w:rsid w:val="003A4744"/>
    <w:rsid w:val="003B48E7"/>
    <w:rsid w:val="003B5369"/>
    <w:rsid w:val="003B614D"/>
    <w:rsid w:val="003E3011"/>
    <w:rsid w:val="003E4F19"/>
    <w:rsid w:val="003E51AE"/>
    <w:rsid w:val="003F12B1"/>
    <w:rsid w:val="0040675E"/>
    <w:rsid w:val="00411C8D"/>
    <w:rsid w:val="00416111"/>
    <w:rsid w:val="00416753"/>
    <w:rsid w:val="0043350B"/>
    <w:rsid w:val="004357C2"/>
    <w:rsid w:val="00440FC3"/>
    <w:rsid w:val="0044373C"/>
    <w:rsid w:val="00443960"/>
    <w:rsid w:val="00444AB7"/>
    <w:rsid w:val="00450219"/>
    <w:rsid w:val="00452FAC"/>
    <w:rsid w:val="0045723F"/>
    <w:rsid w:val="00465B57"/>
    <w:rsid w:val="00477182"/>
    <w:rsid w:val="0048656A"/>
    <w:rsid w:val="00487F02"/>
    <w:rsid w:val="004A527B"/>
    <w:rsid w:val="004B34AF"/>
    <w:rsid w:val="004B585C"/>
    <w:rsid w:val="004B6853"/>
    <w:rsid w:val="004D77D1"/>
    <w:rsid w:val="004E0F30"/>
    <w:rsid w:val="004E334F"/>
    <w:rsid w:val="004E5195"/>
    <w:rsid w:val="004E5D71"/>
    <w:rsid w:val="004E72EB"/>
    <w:rsid w:val="004E77D6"/>
    <w:rsid w:val="004F00B6"/>
    <w:rsid w:val="004F01E0"/>
    <w:rsid w:val="004F56B3"/>
    <w:rsid w:val="00504298"/>
    <w:rsid w:val="005047DC"/>
    <w:rsid w:val="00511BAE"/>
    <w:rsid w:val="00515745"/>
    <w:rsid w:val="00522FFE"/>
    <w:rsid w:val="00527293"/>
    <w:rsid w:val="00541EE5"/>
    <w:rsid w:val="005532C4"/>
    <w:rsid w:val="005600DB"/>
    <w:rsid w:val="005701B5"/>
    <w:rsid w:val="00571ACC"/>
    <w:rsid w:val="00582468"/>
    <w:rsid w:val="00582F21"/>
    <w:rsid w:val="00583447"/>
    <w:rsid w:val="00593DDC"/>
    <w:rsid w:val="00595C99"/>
    <w:rsid w:val="005A44FD"/>
    <w:rsid w:val="005A52EB"/>
    <w:rsid w:val="005B0C1C"/>
    <w:rsid w:val="005C253F"/>
    <w:rsid w:val="005D1699"/>
    <w:rsid w:val="005D2D5D"/>
    <w:rsid w:val="005D3621"/>
    <w:rsid w:val="005D5394"/>
    <w:rsid w:val="005D7B4F"/>
    <w:rsid w:val="005E067F"/>
    <w:rsid w:val="005E5039"/>
    <w:rsid w:val="005E6D0B"/>
    <w:rsid w:val="005F483C"/>
    <w:rsid w:val="00600E52"/>
    <w:rsid w:val="00603A16"/>
    <w:rsid w:val="00606B0B"/>
    <w:rsid w:val="00611DC3"/>
    <w:rsid w:val="00613555"/>
    <w:rsid w:val="006201AE"/>
    <w:rsid w:val="00623FCB"/>
    <w:rsid w:val="0062419C"/>
    <w:rsid w:val="00625694"/>
    <w:rsid w:val="00625EEA"/>
    <w:rsid w:val="00626912"/>
    <w:rsid w:val="00631EC5"/>
    <w:rsid w:val="006339AD"/>
    <w:rsid w:val="0063724F"/>
    <w:rsid w:val="00641429"/>
    <w:rsid w:val="00645081"/>
    <w:rsid w:val="0064659D"/>
    <w:rsid w:val="00647519"/>
    <w:rsid w:val="006509F2"/>
    <w:rsid w:val="00650BD1"/>
    <w:rsid w:val="00650CD7"/>
    <w:rsid w:val="0065719F"/>
    <w:rsid w:val="006571BA"/>
    <w:rsid w:val="00657546"/>
    <w:rsid w:val="006621ED"/>
    <w:rsid w:val="006676E2"/>
    <w:rsid w:val="00676269"/>
    <w:rsid w:val="00680D0C"/>
    <w:rsid w:val="006824E6"/>
    <w:rsid w:val="006840BC"/>
    <w:rsid w:val="00692043"/>
    <w:rsid w:val="00692ADB"/>
    <w:rsid w:val="00694694"/>
    <w:rsid w:val="00696B29"/>
    <w:rsid w:val="006B0691"/>
    <w:rsid w:val="006B11EC"/>
    <w:rsid w:val="006B36BC"/>
    <w:rsid w:val="006B7CF7"/>
    <w:rsid w:val="006C23F5"/>
    <w:rsid w:val="006D3395"/>
    <w:rsid w:val="006D7219"/>
    <w:rsid w:val="006D7436"/>
    <w:rsid w:val="006E18CA"/>
    <w:rsid w:val="006E2E94"/>
    <w:rsid w:val="006E7306"/>
    <w:rsid w:val="006F07A6"/>
    <w:rsid w:val="006F3D9F"/>
    <w:rsid w:val="00700EC9"/>
    <w:rsid w:val="00701F37"/>
    <w:rsid w:val="0070220D"/>
    <w:rsid w:val="0072397B"/>
    <w:rsid w:val="00731F68"/>
    <w:rsid w:val="00733B7C"/>
    <w:rsid w:val="00736D1C"/>
    <w:rsid w:val="00747323"/>
    <w:rsid w:val="007525B5"/>
    <w:rsid w:val="007528CE"/>
    <w:rsid w:val="007557C5"/>
    <w:rsid w:val="0076030D"/>
    <w:rsid w:val="00761342"/>
    <w:rsid w:val="00763EFD"/>
    <w:rsid w:val="007659B9"/>
    <w:rsid w:val="0076697E"/>
    <w:rsid w:val="007674EB"/>
    <w:rsid w:val="00772171"/>
    <w:rsid w:val="00777CCB"/>
    <w:rsid w:val="007806DF"/>
    <w:rsid w:val="00781400"/>
    <w:rsid w:val="007814C8"/>
    <w:rsid w:val="00783CA6"/>
    <w:rsid w:val="007921E2"/>
    <w:rsid w:val="007924D6"/>
    <w:rsid w:val="00792931"/>
    <w:rsid w:val="007A2727"/>
    <w:rsid w:val="007A341D"/>
    <w:rsid w:val="007B54A5"/>
    <w:rsid w:val="007B6021"/>
    <w:rsid w:val="007C0D9D"/>
    <w:rsid w:val="007C2E0F"/>
    <w:rsid w:val="007C4764"/>
    <w:rsid w:val="007D17DC"/>
    <w:rsid w:val="007E3A99"/>
    <w:rsid w:val="007F09C3"/>
    <w:rsid w:val="007F6904"/>
    <w:rsid w:val="00800828"/>
    <w:rsid w:val="00805977"/>
    <w:rsid w:val="00807994"/>
    <w:rsid w:val="00813B9F"/>
    <w:rsid w:val="008155D3"/>
    <w:rsid w:val="008245C4"/>
    <w:rsid w:val="00827AAB"/>
    <w:rsid w:val="00831D91"/>
    <w:rsid w:val="008435A0"/>
    <w:rsid w:val="00843B79"/>
    <w:rsid w:val="00851902"/>
    <w:rsid w:val="00853E6B"/>
    <w:rsid w:val="008559B4"/>
    <w:rsid w:val="0086024E"/>
    <w:rsid w:val="00860B98"/>
    <w:rsid w:val="008610C4"/>
    <w:rsid w:val="0086110B"/>
    <w:rsid w:val="00863B04"/>
    <w:rsid w:val="0087052D"/>
    <w:rsid w:val="00874FDC"/>
    <w:rsid w:val="00877DF1"/>
    <w:rsid w:val="00885495"/>
    <w:rsid w:val="00890CED"/>
    <w:rsid w:val="008919FB"/>
    <w:rsid w:val="00892B74"/>
    <w:rsid w:val="0089503C"/>
    <w:rsid w:val="00895594"/>
    <w:rsid w:val="008971C0"/>
    <w:rsid w:val="008A43F8"/>
    <w:rsid w:val="008B171F"/>
    <w:rsid w:val="008B6C23"/>
    <w:rsid w:val="008B72D9"/>
    <w:rsid w:val="008C76F7"/>
    <w:rsid w:val="008D2455"/>
    <w:rsid w:val="008D28F7"/>
    <w:rsid w:val="008D5A20"/>
    <w:rsid w:val="008D76F1"/>
    <w:rsid w:val="008E5F11"/>
    <w:rsid w:val="008F4BF6"/>
    <w:rsid w:val="008F56AF"/>
    <w:rsid w:val="0090174B"/>
    <w:rsid w:val="00903890"/>
    <w:rsid w:val="00910D05"/>
    <w:rsid w:val="00911800"/>
    <w:rsid w:val="009355F4"/>
    <w:rsid w:val="00947321"/>
    <w:rsid w:val="0094735B"/>
    <w:rsid w:val="00951EF8"/>
    <w:rsid w:val="00960C63"/>
    <w:rsid w:val="009616CF"/>
    <w:rsid w:val="009707BF"/>
    <w:rsid w:val="00970F96"/>
    <w:rsid w:val="0097115B"/>
    <w:rsid w:val="0097786D"/>
    <w:rsid w:val="009832FE"/>
    <w:rsid w:val="00984A47"/>
    <w:rsid w:val="0098638E"/>
    <w:rsid w:val="009929A4"/>
    <w:rsid w:val="0099749B"/>
    <w:rsid w:val="009A127F"/>
    <w:rsid w:val="009A4AC1"/>
    <w:rsid w:val="009A51E1"/>
    <w:rsid w:val="009B101D"/>
    <w:rsid w:val="009D175B"/>
    <w:rsid w:val="009D23FD"/>
    <w:rsid w:val="009E2EE5"/>
    <w:rsid w:val="009E7C05"/>
    <w:rsid w:val="009F0253"/>
    <w:rsid w:val="009F0ED5"/>
    <w:rsid w:val="009F1F63"/>
    <w:rsid w:val="009F213B"/>
    <w:rsid w:val="009F463F"/>
    <w:rsid w:val="00A05001"/>
    <w:rsid w:val="00A11E17"/>
    <w:rsid w:val="00A141D8"/>
    <w:rsid w:val="00A1470F"/>
    <w:rsid w:val="00A15B49"/>
    <w:rsid w:val="00A27621"/>
    <w:rsid w:val="00A33E93"/>
    <w:rsid w:val="00A360BE"/>
    <w:rsid w:val="00A40CE8"/>
    <w:rsid w:val="00A46AB9"/>
    <w:rsid w:val="00A46B7D"/>
    <w:rsid w:val="00A502D6"/>
    <w:rsid w:val="00A5504E"/>
    <w:rsid w:val="00A5592C"/>
    <w:rsid w:val="00A6213C"/>
    <w:rsid w:val="00A67BB8"/>
    <w:rsid w:val="00A760C5"/>
    <w:rsid w:val="00A8346C"/>
    <w:rsid w:val="00AA7854"/>
    <w:rsid w:val="00AB314D"/>
    <w:rsid w:val="00AB5FAD"/>
    <w:rsid w:val="00AC6724"/>
    <w:rsid w:val="00AD037A"/>
    <w:rsid w:val="00AD0AEC"/>
    <w:rsid w:val="00AD2F8A"/>
    <w:rsid w:val="00AD3303"/>
    <w:rsid w:val="00AD41DC"/>
    <w:rsid w:val="00AD6248"/>
    <w:rsid w:val="00AD694E"/>
    <w:rsid w:val="00AD6F6D"/>
    <w:rsid w:val="00AD7200"/>
    <w:rsid w:val="00AD7D4B"/>
    <w:rsid w:val="00AE1B70"/>
    <w:rsid w:val="00AE26B8"/>
    <w:rsid w:val="00AE46A0"/>
    <w:rsid w:val="00AE4EE4"/>
    <w:rsid w:val="00AF7982"/>
    <w:rsid w:val="00AF7BC6"/>
    <w:rsid w:val="00B00001"/>
    <w:rsid w:val="00B066F4"/>
    <w:rsid w:val="00B14530"/>
    <w:rsid w:val="00B14E52"/>
    <w:rsid w:val="00B1511D"/>
    <w:rsid w:val="00B17D82"/>
    <w:rsid w:val="00B23CA3"/>
    <w:rsid w:val="00B3369D"/>
    <w:rsid w:val="00B5231B"/>
    <w:rsid w:val="00B54B5A"/>
    <w:rsid w:val="00B56214"/>
    <w:rsid w:val="00B606C6"/>
    <w:rsid w:val="00B64C31"/>
    <w:rsid w:val="00B66BA6"/>
    <w:rsid w:val="00B70CA9"/>
    <w:rsid w:val="00B72440"/>
    <w:rsid w:val="00B74C1E"/>
    <w:rsid w:val="00B74EFC"/>
    <w:rsid w:val="00B75557"/>
    <w:rsid w:val="00B768BD"/>
    <w:rsid w:val="00B76911"/>
    <w:rsid w:val="00B8425F"/>
    <w:rsid w:val="00B847CC"/>
    <w:rsid w:val="00B87629"/>
    <w:rsid w:val="00B9114F"/>
    <w:rsid w:val="00B9415A"/>
    <w:rsid w:val="00B94667"/>
    <w:rsid w:val="00BA08D8"/>
    <w:rsid w:val="00BA3DCB"/>
    <w:rsid w:val="00BB18BD"/>
    <w:rsid w:val="00BB1E65"/>
    <w:rsid w:val="00BB4BC4"/>
    <w:rsid w:val="00BB5877"/>
    <w:rsid w:val="00BC25C1"/>
    <w:rsid w:val="00BC3FB9"/>
    <w:rsid w:val="00BD344D"/>
    <w:rsid w:val="00BD7187"/>
    <w:rsid w:val="00BF0CA5"/>
    <w:rsid w:val="00BF3482"/>
    <w:rsid w:val="00C00855"/>
    <w:rsid w:val="00C06B75"/>
    <w:rsid w:val="00C143B7"/>
    <w:rsid w:val="00C14F14"/>
    <w:rsid w:val="00C15BFA"/>
    <w:rsid w:val="00C16F41"/>
    <w:rsid w:val="00C25C45"/>
    <w:rsid w:val="00C311D6"/>
    <w:rsid w:val="00C31734"/>
    <w:rsid w:val="00C335BA"/>
    <w:rsid w:val="00C36F4E"/>
    <w:rsid w:val="00C41004"/>
    <w:rsid w:val="00C52BA5"/>
    <w:rsid w:val="00C61E37"/>
    <w:rsid w:val="00C659B6"/>
    <w:rsid w:val="00C66684"/>
    <w:rsid w:val="00C67A65"/>
    <w:rsid w:val="00C708D0"/>
    <w:rsid w:val="00C71E87"/>
    <w:rsid w:val="00C75556"/>
    <w:rsid w:val="00C7638E"/>
    <w:rsid w:val="00C80134"/>
    <w:rsid w:val="00C824EB"/>
    <w:rsid w:val="00CA0196"/>
    <w:rsid w:val="00CA02C4"/>
    <w:rsid w:val="00CA070D"/>
    <w:rsid w:val="00CA6DF6"/>
    <w:rsid w:val="00CB307D"/>
    <w:rsid w:val="00CB3CF3"/>
    <w:rsid w:val="00CC3A66"/>
    <w:rsid w:val="00CD02F7"/>
    <w:rsid w:val="00CD0948"/>
    <w:rsid w:val="00CF12DD"/>
    <w:rsid w:val="00D00942"/>
    <w:rsid w:val="00D031F6"/>
    <w:rsid w:val="00D034A3"/>
    <w:rsid w:val="00D0732C"/>
    <w:rsid w:val="00D076BF"/>
    <w:rsid w:val="00D10619"/>
    <w:rsid w:val="00D1193B"/>
    <w:rsid w:val="00D14791"/>
    <w:rsid w:val="00D14941"/>
    <w:rsid w:val="00D16737"/>
    <w:rsid w:val="00D16FEE"/>
    <w:rsid w:val="00D17A83"/>
    <w:rsid w:val="00D31F08"/>
    <w:rsid w:val="00D350CD"/>
    <w:rsid w:val="00D35E78"/>
    <w:rsid w:val="00D36121"/>
    <w:rsid w:val="00D37C14"/>
    <w:rsid w:val="00D37FE6"/>
    <w:rsid w:val="00D41DC9"/>
    <w:rsid w:val="00D44B88"/>
    <w:rsid w:val="00D503C2"/>
    <w:rsid w:val="00D51AAD"/>
    <w:rsid w:val="00D538F4"/>
    <w:rsid w:val="00D540A0"/>
    <w:rsid w:val="00D67776"/>
    <w:rsid w:val="00D7136B"/>
    <w:rsid w:val="00D8022D"/>
    <w:rsid w:val="00D81375"/>
    <w:rsid w:val="00D87026"/>
    <w:rsid w:val="00D907DC"/>
    <w:rsid w:val="00D92975"/>
    <w:rsid w:val="00D94A52"/>
    <w:rsid w:val="00D95BCF"/>
    <w:rsid w:val="00DA574F"/>
    <w:rsid w:val="00DA6F59"/>
    <w:rsid w:val="00DB0F5D"/>
    <w:rsid w:val="00DB4D3F"/>
    <w:rsid w:val="00DC0889"/>
    <w:rsid w:val="00DC303B"/>
    <w:rsid w:val="00DC6203"/>
    <w:rsid w:val="00DD21A1"/>
    <w:rsid w:val="00DD5760"/>
    <w:rsid w:val="00DD662F"/>
    <w:rsid w:val="00DE4C10"/>
    <w:rsid w:val="00DE572A"/>
    <w:rsid w:val="00DE6CCB"/>
    <w:rsid w:val="00DF6132"/>
    <w:rsid w:val="00DF7832"/>
    <w:rsid w:val="00E05563"/>
    <w:rsid w:val="00E07416"/>
    <w:rsid w:val="00E13DDD"/>
    <w:rsid w:val="00E2141E"/>
    <w:rsid w:val="00E241F3"/>
    <w:rsid w:val="00E316BE"/>
    <w:rsid w:val="00E37EB8"/>
    <w:rsid w:val="00E4388C"/>
    <w:rsid w:val="00E45D99"/>
    <w:rsid w:val="00E464C6"/>
    <w:rsid w:val="00E4701D"/>
    <w:rsid w:val="00E54724"/>
    <w:rsid w:val="00E548EC"/>
    <w:rsid w:val="00E5562D"/>
    <w:rsid w:val="00E56AE7"/>
    <w:rsid w:val="00E56B4D"/>
    <w:rsid w:val="00E63DF0"/>
    <w:rsid w:val="00E656C8"/>
    <w:rsid w:val="00E65AD1"/>
    <w:rsid w:val="00E70E94"/>
    <w:rsid w:val="00E86A1D"/>
    <w:rsid w:val="00E91611"/>
    <w:rsid w:val="00E9266F"/>
    <w:rsid w:val="00E9496D"/>
    <w:rsid w:val="00EA3409"/>
    <w:rsid w:val="00EA56D6"/>
    <w:rsid w:val="00EA6D72"/>
    <w:rsid w:val="00EB2B60"/>
    <w:rsid w:val="00EB50AD"/>
    <w:rsid w:val="00EB582D"/>
    <w:rsid w:val="00EB5C1C"/>
    <w:rsid w:val="00EB7776"/>
    <w:rsid w:val="00EC5B96"/>
    <w:rsid w:val="00EC7CEC"/>
    <w:rsid w:val="00ED00F8"/>
    <w:rsid w:val="00EE4390"/>
    <w:rsid w:val="00EE45BA"/>
    <w:rsid w:val="00EE6024"/>
    <w:rsid w:val="00EF07C7"/>
    <w:rsid w:val="00EF3099"/>
    <w:rsid w:val="00EF31E5"/>
    <w:rsid w:val="00F14BD6"/>
    <w:rsid w:val="00F239DF"/>
    <w:rsid w:val="00F23C00"/>
    <w:rsid w:val="00F24B0B"/>
    <w:rsid w:val="00F27314"/>
    <w:rsid w:val="00F40EA6"/>
    <w:rsid w:val="00F47339"/>
    <w:rsid w:val="00F56710"/>
    <w:rsid w:val="00F576D6"/>
    <w:rsid w:val="00F57BBE"/>
    <w:rsid w:val="00F63042"/>
    <w:rsid w:val="00F774AC"/>
    <w:rsid w:val="00F80ABD"/>
    <w:rsid w:val="00F85377"/>
    <w:rsid w:val="00F8567B"/>
    <w:rsid w:val="00F85D36"/>
    <w:rsid w:val="00F8788D"/>
    <w:rsid w:val="00F9217A"/>
    <w:rsid w:val="00F97277"/>
    <w:rsid w:val="00FA3124"/>
    <w:rsid w:val="00FA3D50"/>
    <w:rsid w:val="00FA4719"/>
    <w:rsid w:val="00FB0ECE"/>
    <w:rsid w:val="00FB14ED"/>
    <w:rsid w:val="00FB1C76"/>
    <w:rsid w:val="00FC5911"/>
    <w:rsid w:val="00FD08AE"/>
    <w:rsid w:val="00FD192B"/>
    <w:rsid w:val="00FD5F6F"/>
    <w:rsid w:val="00FE166D"/>
    <w:rsid w:val="00FE5AE4"/>
    <w:rsid w:val="00FE7F81"/>
    <w:rsid w:val="00FF180E"/>
    <w:rsid w:val="00FF1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C8"/>
  </w:style>
  <w:style w:type="paragraph" w:styleId="Heading1">
    <w:name w:val="heading 1"/>
    <w:basedOn w:val="Normal"/>
    <w:next w:val="Normal"/>
    <w:link w:val="Heading1Char"/>
    <w:uiPriority w:val="9"/>
    <w:qFormat/>
    <w:rsid w:val="007814C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814C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814C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814C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814C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14C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14C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14C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14C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9F0ED5"/>
    <w:pPr>
      <w:keepNext/>
      <w:keepLines/>
      <w:spacing w:beforeLines="150" w:afterLines="100"/>
      <w:jc w:val="center"/>
      <w:outlineLvl w:val="0"/>
    </w:pPr>
    <w:rPr>
      <w:rFonts w:ascii="Century Schoolbook" w:hAnsi="Century Schoolbook"/>
      <w:b/>
      <w:kern w:val="2"/>
      <w:sz w:val="24"/>
      <w:szCs w:val="24"/>
    </w:rPr>
  </w:style>
  <w:style w:type="paragraph" w:customStyle="1" w:styleId="Text">
    <w:name w:val="Text"/>
    <w:basedOn w:val="Normal"/>
    <w:link w:val="TextChar"/>
    <w:qFormat/>
    <w:rsid w:val="00D94A52"/>
    <w:pPr>
      <w:spacing w:line="480" w:lineRule="auto"/>
      <w:ind w:firstLine="360"/>
    </w:pPr>
    <w:rPr>
      <w:kern w:val="2"/>
      <w:sz w:val="24"/>
      <w:szCs w:val="24"/>
    </w:rPr>
  </w:style>
  <w:style w:type="character" w:customStyle="1" w:styleId="HeadingChar">
    <w:name w:val="Heading Char"/>
    <w:basedOn w:val="DefaultParagraphFont"/>
    <w:link w:val="Heading"/>
    <w:rsid w:val="009F0ED5"/>
    <w:rPr>
      <w:rFonts w:ascii="Century Schoolbook" w:hAnsi="Century Schoolbook"/>
      <w:b/>
      <w:kern w:val="2"/>
      <w:sz w:val="24"/>
      <w:szCs w:val="24"/>
    </w:rPr>
  </w:style>
  <w:style w:type="character" w:customStyle="1" w:styleId="TextChar">
    <w:name w:val="Text Char"/>
    <w:basedOn w:val="DefaultParagraphFont"/>
    <w:link w:val="Text"/>
    <w:rsid w:val="00D94A52"/>
    <w:rPr>
      <w:rFonts w:ascii="Century Schoolbook" w:eastAsia="Times New Roman" w:hAnsi="Century Schoolbook" w:cs="Times New Roman"/>
      <w:kern w:val="2"/>
      <w:sz w:val="24"/>
      <w:szCs w:val="24"/>
    </w:rPr>
  </w:style>
  <w:style w:type="paragraph" w:styleId="FootnoteText">
    <w:name w:val="footnote text"/>
    <w:basedOn w:val="Normal"/>
    <w:link w:val="FootnoteTextChar"/>
    <w:uiPriority w:val="99"/>
    <w:unhideWhenUsed/>
    <w:rsid w:val="009B101D"/>
  </w:style>
  <w:style w:type="character" w:customStyle="1" w:styleId="FootnoteTextChar">
    <w:name w:val="Footnote Text Char"/>
    <w:basedOn w:val="DefaultParagraphFont"/>
    <w:link w:val="FootnoteText"/>
    <w:uiPriority w:val="99"/>
    <w:rsid w:val="009B101D"/>
    <w:rPr>
      <w:rFonts w:ascii="Century Schoolbook" w:eastAsia="Times New Roman" w:hAnsi="Century Schoolbook" w:cs="Times New Roman"/>
      <w:sz w:val="20"/>
      <w:szCs w:val="20"/>
    </w:rPr>
  </w:style>
  <w:style w:type="character" w:styleId="FootnoteReference">
    <w:name w:val="footnote reference"/>
    <w:basedOn w:val="DefaultParagraphFont"/>
    <w:uiPriority w:val="99"/>
    <w:semiHidden/>
    <w:unhideWhenUsed/>
    <w:rsid w:val="009B101D"/>
    <w:rPr>
      <w:vertAlign w:val="superscript"/>
    </w:rPr>
  </w:style>
  <w:style w:type="character" w:styleId="Hyperlink">
    <w:name w:val="Hyperlink"/>
    <w:basedOn w:val="DefaultParagraphFont"/>
    <w:uiPriority w:val="99"/>
    <w:unhideWhenUsed/>
    <w:rsid w:val="00266036"/>
    <w:rPr>
      <w:color w:val="0000FF" w:themeColor="hyperlink"/>
      <w:u w:val="single"/>
    </w:rPr>
  </w:style>
  <w:style w:type="character" w:styleId="FollowedHyperlink">
    <w:name w:val="FollowedHyperlink"/>
    <w:basedOn w:val="DefaultParagraphFont"/>
    <w:uiPriority w:val="99"/>
    <w:semiHidden/>
    <w:unhideWhenUsed/>
    <w:rsid w:val="006B0691"/>
    <w:rPr>
      <w:color w:val="800080" w:themeColor="followedHyperlink"/>
      <w:u w:val="single"/>
    </w:rPr>
  </w:style>
  <w:style w:type="paragraph" w:styleId="EndnoteText">
    <w:name w:val="endnote text"/>
    <w:basedOn w:val="Normal"/>
    <w:link w:val="EndnoteTextChar"/>
    <w:uiPriority w:val="99"/>
    <w:semiHidden/>
    <w:unhideWhenUsed/>
    <w:rsid w:val="00D17A83"/>
  </w:style>
  <w:style w:type="character" w:customStyle="1" w:styleId="EndnoteTextChar">
    <w:name w:val="Endnote Text Char"/>
    <w:basedOn w:val="DefaultParagraphFont"/>
    <w:link w:val="EndnoteText"/>
    <w:uiPriority w:val="99"/>
    <w:semiHidden/>
    <w:rsid w:val="00D17A83"/>
    <w:rPr>
      <w:rFonts w:ascii="Century Schoolbook" w:eastAsia="Times New Roman" w:hAnsi="Century Schoolbook" w:cs="Times New Roman"/>
      <w:sz w:val="20"/>
      <w:szCs w:val="20"/>
    </w:rPr>
  </w:style>
  <w:style w:type="character" w:styleId="EndnoteReference">
    <w:name w:val="endnote reference"/>
    <w:basedOn w:val="DefaultParagraphFont"/>
    <w:uiPriority w:val="99"/>
    <w:semiHidden/>
    <w:unhideWhenUsed/>
    <w:rsid w:val="00D17A83"/>
    <w:rPr>
      <w:vertAlign w:val="superscript"/>
    </w:rPr>
  </w:style>
  <w:style w:type="character" w:styleId="CommentReference">
    <w:name w:val="annotation reference"/>
    <w:basedOn w:val="DefaultParagraphFont"/>
    <w:uiPriority w:val="99"/>
    <w:semiHidden/>
    <w:unhideWhenUsed/>
    <w:rsid w:val="00F774AC"/>
    <w:rPr>
      <w:sz w:val="16"/>
      <w:szCs w:val="16"/>
    </w:rPr>
  </w:style>
  <w:style w:type="paragraph" w:styleId="CommentText">
    <w:name w:val="annotation text"/>
    <w:basedOn w:val="Normal"/>
    <w:link w:val="CommentTextChar"/>
    <w:uiPriority w:val="99"/>
    <w:semiHidden/>
    <w:unhideWhenUsed/>
    <w:rsid w:val="00F774AC"/>
  </w:style>
  <w:style w:type="character" w:customStyle="1" w:styleId="CommentTextChar">
    <w:name w:val="Comment Text Char"/>
    <w:basedOn w:val="DefaultParagraphFont"/>
    <w:link w:val="CommentText"/>
    <w:uiPriority w:val="99"/>
    <w:semiHidden/>
    <w:rsid w:val="00F774AC"/>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F774AC"/>
    <w:rPr>
      <w:b/>
      <w:bCs/>
    </w:rPr>
  </w:style>
  <w:style w:type="character" w:customStyle="1" w:styleId="CommentSubjectChar">
    <w:name w:val="Comment Subject Char"/>
    <w:basedOn w:val="CommentTextChar"/>
    <w:link w:val="CommentSubject"/>
    <w:uiPriority w:val="99"/>
    <w:semiHidden/>
    <w:rsid w:val="00F774AC"/>
    <w:rPr>
      <w:b/>
      <w:bCs/>
    </w:rPr>
  </w:style>
  <w:style w:type="paragraph" w:styleId="Revision">
    <w:name w:val="Revision"/>
    <w:hidden/>
    <w:uiPriority w:val="99"/>
    <w:semiHidden/>
    <w:rsid w:val="00F774AC"/>
    <w:pPr>
      <w:spacing w:line="240" w:lineRule="auto"/>
    </w:pPr>
    <w:rPr>
      <w:rFonts w:ascii="Century Schoolbook" w:eastAsia="Times New Roman" w:hAnsi="Century Schoolbook" w:cs="Times New Roman"/>
      <w:sz w:val="20"/>
      <w:szCs w:val="20"/>
    </w:rPr>
  </w:style>
  <w:style w:type="paragraph" w:styleId="BalloonText">
    <w:name w:val="Balloon Text"/>
    <w:basedOn w:val="Normal"/>
    <w:link w:val="BalloonTextChar"/>
    <w:uiPriority w:val="99"/>
    <w:semiHidden/>
    <w:unhideWhenUsed/>
    <w:rsid w:val="00F774AC"/>
    <w:rPr>
      <w:rFonts w:ascii="Tahoma" w:hAnsi="Tahoma" w:cs="Tahoma"/>
      <w:sz w:val="16"/>
      <w:szCs w:val="16"/>
    </w:rPr>
  </w:style>
  <w:style w:type="character" w:customStyle="1" w:styleId="BalloonTextChar">
    <w:name w:val="Balloon Text Char"/>
    <w:basedOn w:val="DefaultParagraphFont"/>
    <w:link w:val="BalloonText"/>
    <w:uiPriority w:val="99"/>
    <w:semiHidden/>
    <w:rsid w:val="00F774AC"/>
    <w:rPr>
      <w:rFonts w:ascii="Tahoma" w:eastAsia="Times New Roman" w:hAnsi="Tahoma" w:cs="Tahoma"/>
      <w:sz w:val="16"/>
      <w:szCs w:val="16"/>
    </w:rPr>
  </w:style>
  <w:style w:type="character" w:customStyle="1" w:styleId="Heading1Char">
    <w:name w:val="Heading 1 Char"/>
    <w:basedOn w:val="DefaultParagraphFont"/>
    <w:link w:val="Heading1"/>
    <w:uiPriority w:val="9"/>
    <w:rsid w:val="007814C8"/>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7814C8"/>
    <w:pPr>
      <w:outlineLvl w:val="9"/>
    </w:pPr>
  </w:style>
  <w:style w:type="paragraph" w:styleId="TOC1">
    <w:name w:val="toc 1"/>
    <w:basedOn w:val="Normal"/>
    <w:next w:val="Normal"/>
    <w:autoRedefine/>
    <w:uiPriority w:val="39"/>
    <w:unhideWhenUsed/>
    <w:rsid w:val="0002068B"/>
    <w:pPr>
      <w:tabs>
        <w:tab w:val="right" w:leader="dot" w:pos="9350"/>
      </w:tabs>
      <w:spacing w:before="100" w:beforeAutospacing="1" w:after="0" w:line="240" w:lineRule="auto"/>
    </w:pPr>
  </w:style>
  <w:style w:type="character" w:customStyle="1" w:styleId="Heading2Char">
    <w:name w:val="Heading 2 Char"/>
    <w:basedOn w:val="DefaultParagraphFont"/>
    <w:link w:val="Heading2"/>
    <w:uiPriority w:val="9"/>
    <w:semiHidden/>
    <w:rsid w:val="007814C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814C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814C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814C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14C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14C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14C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14C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814C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14C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14C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814C8"/>
    <w:rPr>
      <w:rFonts w:asciiTheme="majorHAnsi" w:eastAsiaTheme="majorEastAsia" w:hAnsiTheme="majorHAnsi" w:cstheme="majorBidi"/>
      <w:i/>
      <w:iCs/>
      <w:spacing w:val="13"/>
      <w:sz w:val="24"/>
      <w:szCs w:val="24"/>
    </w:rPr>
  </w:style>
  <w:style w:type="character" w:styleId="Strong">
    <w:name w:val="Strong"/>
    <w:uiPriority w:val="22"/>
    <w:qFormat/>
    <w:rsid w:val="007814C8"/>
    <w:rPr>
      <w:b/>
      <w:bCs/>
    </w:rPr>
  </w:style>
  <w:style w:type="character" w:styleId="Emphasis">
    <w:name w:val="Emphasis"/>
    <w:uiPriority w:val="20"/>
    <w:qFormat/>
    <w:rsid w:val="007814C8"/>
    <w:rPr>
      <w:b/>
      <w:bCs/>
      <w:i/>
      <w:iCs/>
      <w:spacing w:val="10"/>
      <w:bdr w:val="none" w:sz="0" w:space="0" w:color="auto"/>
      <w:shd w:val="clear" w:color="auto" w:fill="auto"/>
    </w:rPr>
  </w:style>
  <w:style w:type="paragraph" w:styleId="NoSpacing">
    <w:name w:val="No Spacing"/>
    <w:basedOn w:val="Normal"/>
    <w:link w:val="NoSpacingChar"/>
    <w:uiPriority w:val="1"/>
    <w:qFormat/>
    <w:rsid w:val="007814C8"/>
    <w:pPr>
      <w:spacing w:after="0" w:line="240" w:lineRule="auto"/>
    </w:pPr>
  </w:style>
  <w:style w:type="paragraph" w:styleId="ListParagraph">
    <w:name w:val="List Paragraph"/>
    <w:basedOn w:val="Normal"/>
    <w:uiPriority w:val="34"/>
    <w:qFormat/>
    <w:rsid w:val="007814C8"/>
    <w:pPr>
      <w:ind w:left="720"/>
      <w:contextualSpacing/>
    </w:pPr>
  </w:style>
  <w:style w:type="paragraph" w:styleId="Quote">
    <w:name w:val="Quote"/>
    <w:basedOn w:val="Normal"/>
    <w:next w:val="Normal"/>
    <w:link w:val="QuoteChar"/>
    <w:uiPriority w:val="29"/>
    <w:qFormat/>
    <w:rsid w:val="007814C8"/>
    <w:pPr>
      <w:spacing w:before="200" w:after="0"/>
      <w:ind w:left="360" w:right="360"/>
    </w:pPr>
    <w:rPr>
      <w:i/>
      <w:iCs/>
    </w:rPr>
  </w:style>
  <w:style w:type="character" w:customStyle="1" w:styleId="QuoteChar">
    <w:name w:val="Quote Char"/>
    <w:basedOn w:val="DefaultParagraphFont"/>
    <w:link w:val="Quote"/>
    <w:uiPriority w:val="29"/>
    <w:rsid w:val="007814C8"/>
    <w:rPr>
      <w:i/>
      <w:iCs/>
    </w:rPr>
  </w:style>
  <w:style w:type="paragraph" w:styleId="IntenseQuote">
    <w:name w:val="Intense Quote"/>
    <w:basedOn w:val="Normal"/>
    <w:next w:val="Normal"/>
    <w:link w:val="IntenseQuoteChar"/>
    <w:uiPriority w:val="30"/>
    <w:qFormat/>
    <w:rsid w:val="007814C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14C8"/>
    <w:rPr>
      <w:b/>
      <w:bCs/>
      <w:i/>
      <w:iCs/>
    </w:rPr>
  </w:style>
  <w:style w:type="character" w:styleId="SubtleEmphasis">
    <w:name w:val="Subtle Emphasis"/>
    <w:uiPriority w:val="19"/>
    <w:qFormat/>
    <w:rsid w:val="007814C8"/>
    <w:rPr>
      <w:i/>
      <w:iCs/>
    </w:rPr>
  </w:style>
  <w:style w:type="character" w:styleId="IntenseEmphasis">
    <w:name w:val="Intense Emphasis"/>
    <w:uiPriority w:val="21"/>
    <w:qFormat/>
    <w:rsid w:val="007814C8"/>
    <w:rPr>
      <w:b/>
      <w:bCs/>
    </w:rPr>
  </w:style>
  <w:style w:type="character" w:styleId="SubtleReference">
    <w:name w:val="Subtle Reference"/>
    <w:uiPriority w:val="31"/>
    <w:qFormat/>
    <w:rsid w:val="007814C8"/>
    <w:rPr>
      <w:smallCaps/>
    </w:rPr>
  </w:style>
  <w:style w:type="character" w:styleId="IntenseReference">
    <w:name w:val="Intense Reference"/>
    <w:uiPriority w:val="32"/>
    <w:qFormat/>
    <w:rsid w:val="007814C8"/>
    <w:rPr>
      <w:smallCaps/>
      <w:spacing w:val="5"/>
      <w:u w:val="single"/>
    </w:rPr>
  </w:style>
  <w:style w:type="character" w:styleId="BookTitle">
    <w:name w:val="Book Title"/>
    <w:uiPriority w:val="33"/>
    <w:qFormat/>
    <w:rsid w:val="007814C8"/>
    <w:rPr>
      <w:i/>
      <w:iCs/>
      <w:smallCaps/>
      <w:spacing w:val="5"/>
    </w:rPr>
  </w:style>
  <w:style w:type="paragraph" w:styleId="Caption">
    <w:name w:val="caption"/>
    <w:basedOn w:val="Normal"/>
    <w:next w:val="Normal"/>
    <w:uiPriority w:val="35"/>
    <w:semiHidden/>
    <w:unhideWhenUsed/>
    <w:rsid w:val="00CA02C4"/>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CA02C4"/>
  </w:style>
  <w:style w:type="paragraph" w:styleId="Header">
    <w:name w:val="header"/>
    <w:basedOn w:val="Normal"/>
    <w:link w:val="HeaderChar"/>
    <w:uiPriority w:val="99"/>
    <w:semiHidden/>
    <w:unhideWhenUsed/>
    <w:rsid w:val="00214E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E8B"/>
  </w:style>
  <w:style w:type="paragraph" w:styleId="Footer">
    <w:name w:val="footer"/>
    <w:basedOn w:val="Normal"/>
    <w:link w:val="FooterChar"/>
    <w:uiPriority w:val="99"/>
    <w:unhideWhenUsed/>
    <w:rsid w:val="00214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E8B"/>
  </w:style>
</w:styles>
</file>

<file path=word/webSettings.xml><?xml version="1.0" encoding="utf-8"?>
<w:webSettings xmlns:r="http://schemas.openxmlformats.org/officeDocument/2006/relationships" xmlns:w="http://schemas.openxmlformats.org/wordprocessingml/2006/main">
  <w:divs>
    <w:div w:id="1819374311">
      <w:bodyDiv w:val="1"/>
      <w:marLeft w:val="0"/>
      <w:marRight w:val="0"/>
      <w:marTop w:val="0"/>
      <w:marBottom w:val="0"/>
      <w:divBdr>
        <w:top w:val="none" w:sz="0" w:space="0" w:color="auto"/>
        <w:left w:val="none" w:sz="0" w:space="0" w:color="auto"/>
        <w:bottom w:val="none" w:sz="0" w:space="0" w:color="auto"/>
        <w:right w:val="none" w:sz="0" w:space="0" w:color="auto"/>
      </w:divBdr>
      <w:divsChild>
        <w:div w:id="442775075">
          <w:marLeft w:val="0"/>
          <w:marRight w:val="0"/>
          <w:marTop w:val="0"/>
          <w:marBottom w:val="0"/>
          <w:divBdr>
            <w:top w:val="none" w:sz="0" w:space="0" w:color="auto"/>
            <w:left w:val="none" w:sz="0" w:space="0" w:color="auto"/>
            <w:bottom w:val="none" w:sz="0" w:space="0" w:color="auto"/>
            <w:right w:val="none" w:sz="0" w:space="0" w:color="auto"/>
          </w:divBdr>
          <w:divsChild>
            <w:div w:id="27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jbits.courts.state.co.us/pas/pubaccess/" TargetMode="External"/><Relationship Id="rId3" Type="http://schemas.openxmlformats.org/officeDocument/2006/relationships/hyperlink" Target="http://www.pacer.gov/psc/efaq.html" TargetMode="External"/><Relationship Id="rId7" Type="http://schemas.openxmlformats.org/officeDocument/2006/relationships/hyperlink" Target="http://www.colorado.gov/cs/Satellite/CICJIS/CIC/1184685280254" TargetMode="External"/><Relationship Id="rId2" Type="http://schemas.openxmlformats.org/officeDocument/2006/relationships/hyperlink" Target="http://www.usdoj.gov/ust/eo/bapcpa/defs/index.htm" TargetMode="External"/><Relationship Id="rId1" Type="http://schemas.openxmlformats.org/officeDocument/2006/relationships/hyperlink" Target="http://ssrn.com/abstract=1107412" TargetMode="External"/><Relationship Id="rId6" Type="http://schemas.openxmlformats.org/officeDocument/2006/relationships/hyperlink" Target="http://www.colorado.gov/cs/Satellite/CICJIS/CIC/1187685227971" TargetMode="External"/><Relationship Id="rId11" Type="http://schemas.openxmlformats.org/officeDocument/2006/relationships/hyperlink" Target="http://www.it.ojp.gov/documents/What_is_XML_article.pdf" TargetMode="External"/><Relationship Id="rId5" Type="http://schemas.openxmlformats.org/officeDocument/2006/relationships/hyperlink" Target="http://www.colorado.gov/cs/Satellite/CICJIS/CIC/1184685280209" TargetMode="External"/><Relationship Id="rId10" Type="http://schemas.openxmlformats.org/officeDocument/2006/relationships/hyperlink" Target="http://www.ice.gov/secure_communities/" TargetMode="External"/><Relationship Id="rId4" Type="http://schemas.openxmlformats.org/officeDocument/2006/relationships/hyperlink" Target="https://www.recapthelaw.org/why-it-matters/" TargetMode="External"/><Relationship Id="rId9" Type="http://schemas.openxmlformats.org/officeDocument/2006/relationships/hyperlink" Target="https://www.cocou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C856-FB7F-4141-9A53-F95819FE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30</Pages>
  <Words>5541</Words>
  <Characters>31587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dc:creator>
  <cp:lastModifiedBy>elm</cp:lastModifiedBy>
  <cp:revision>39</cp:revision>
  <cp:lastPrinted>2011-04-22T17:14:00Z</cp:lastPrinted>
  <dcterms:created xsi:type="dcterms:W3CDTF">2013-07-25T03:27:00Z</dcterms:created>
  <dcterms:modified xsi:type="dcterms:W3CDTF">2013-07-25T05:19:00Z</dcterms:modified>
</cp:coreProperties>
</file>